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EB" w:rsidRDefault="002C46EB" w:rsidP="002C46EB">
      <w:pPr>
        <w:framePr w:w="4696" w:h="2249" w:hRule="exact" w:hSpace="180" w:wrap="around" w:vAnchor="text" w:hAnchor="page" w:x="6625" w:y="-643"/>
        <w:spacing w:line="360" w:lineRule="auto"/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2C46EB" w:rsidRPr="002C46EB" w:rsidRDefault="002C46EB" w:rsidP="002C46EB">
      <w:pPr>
        <w:framePr w:w="4696" w:h="2249" w:hRule="exact" w:hSpace="180" w:wrap="around" w:vAnchor="text" w:hAnchor="page" w:x="6625" w:y="-643"/>
        <w:spacing w:line="360" w:lineRule="auto"/>
        <w:jc w:val="both"/>
        <w:rPr>
          <w:sz w:val="26"/>
          <w:szCs w:val="26"/>
        </w:rPr>
      </w:pPr>
      <w:r w:rsidRPr="002C46EB">
        <w:rPr>
          <w:sz w:val="26"/>
          <w:szCs w:val="26"/>
        </w:rPr>
        <w:t>ЗАТВЕРДЖЕНО</w:t>
      </w:r>
    </w:p>
    <w:p w:rsidR="002C46EB" w:rsidRPr="002C46EB" w:rsidRDefault="002C46EB" w:rsidP="002C46EB">
      <w:pPr>
        <w:framePr w:w="4696" w:h="2249" w:hRule="exact" w:hSpace="180" w:wrap="around" w:vAnchor="text" w:hAnchor="page" w:x="6625" w:y="-643"/>
        <w:jc w:val="both"/>
        <w:rPr>
          <w:color w:val="000000"/>
          <w:sz w:val="26"/>
          <w:szCs w:val="26"/>
          <w:lang w:val="uk-UA"/>
        </w:rPr>
      </w:pPr>
      <w:r w:rsidRPr="002C46EB">
        <w:rPr>
          <w:color w:val="000000"/>
          <w:sz w:val="26"/>
          <w:szCs w:val="26"/>
          <w:lang w:val="uk-UA"/>
        </w:rPr>
        <w:t>Наказ Державної екологічної інспекції</w:t>
      </w:r>
    </w:p>
    <w:p w:rsidR="002C46EB" w:rsidRPr="002C46EB" w:rsidRDefault="002C46EB" w:rsidP="002C46EB">
      <w:pPr>
        <w:framePr w:w="4696" w:h="2249" w:hRule="exact" w:hSpace="180" w:wrap="around" w:vAnchor="text" w:hAnchor="page" w:x="6625" w:y="-643"/>
        <w:jc w:val="both"/>
        <w:rPr>
          <w:color w:val="000000"/>
          <w:sz w:val="26"/>
          <w:szCs w:val="26"/>
          <w:lang w:val="uk-UA"/>
        </w:rPr>
      </w:pPr>
      <w:r w:rsidRPr="002C46EB">
        <w:rPr>
          <w:color w:val="000000"/>
          <w:sz w:val="26"/>
          <w:szCs w:val="26"/>
          <w:lang w:val="uk-UA"/>
        </w:rPr>
        <w:t>Поліського округу</w:t>
      </w:r>
    </w:p>
    <w:p w:rsidR="002C46EB" w:rsidRPr="002C46EB" w:rsidRDefault="002C46EB" w:rsidP="002C46EB">
      <w:pPr>
        <w:framePr w:w="4696" w:h="2249" w:hRule="exact" w:hSpace="180" w:wrap="around" w:vAnchor="text" w:hAnchor="page" w:x="6625" w:y="-643"/>
        <w:jc w:val="both"/>
        <w:rPr>
          <w:color w:val="000000"/>
          <w:sz w:val="26"/>
          <w:szCs w:val="26"/>
          <w:lang w:val="uk-UA"/>
        </w:rPr>
      </w:pPr>
    </w:p>
    <w:p w:rsidR="002C46EB" w:rsidRPr="002C46EB" w:rsidRDefault="002C46EB" w:rsidP="002C46EB">
      <w:pPr>
        <w:framePr w:w="4696" w:h="2249" w:hRule="exact" w:hSpace="180" w:wrap="around" w:vAnchor="text" w:hAnchor="page" w:x="6625" w:y="-643"/>
        <w:jc w:val="both"/>
        <w:rPr>
          <w:color w:val="FF0000"/>
          <w:sz w:val="26"/>
          <w:szCs w:val="26"/>
          <w:lang w:val="uk-UA"/>
        </w:rPr>
      </w:pPr>
      <w:r w:rsidRPr="002C46EB">
        <w:rPr>
          <w:color w:val="000000"/>
          <w:sz w:val="26"/>
          <w:szCs w:val="26"/>
          <w:lang w:val="uk-UA"/>
        </w:rPr>
        <w:t>____________ № _____</w:t>
      </w:r>
    </w:p>
    <w:tbl>
      <w:tblPr>
        <w:tblW w:w="0" w:type="auto"/>
        <w:tblInd w:w="478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094BED" w:rsidRPr="0088123E" w:rsidTr="006B0C4F">
        <w:tc>
          <w:tcPr>
            <w:tcW w:w="4785" w:type="dxa"/>
            <w:shd w:val="clear" w:color="auto" w:fill="auto"/>
          </w:tcPr>
          <w:p w:rsidR="00094BED" w:rsidRPr="0088123E" w:rsidRDefault="00094BED" w:rsidP="006B0C4F">
            <w:pPr>
              <w:pStyle w:val="a3"/>
              <w:spacing w:before="0" w:beforeAutospacing="0" w:after="0" w:afterAutospacing="0"/>
              <w:rPr>
                <w:bCs/>
                <w:sz w:val="27"/>
                <w:szCs w:val="27"/>
                <w:u w:val="single"/>
                <w:lang w:val="uk-UA"/>
              </w:rPr>
            </w:pPr>
          </w:p>
        </w:tc>
      </w:tr>
    </w:tbl>
    <w:p w:rsidR="00367B82" w:rsidRDefault="00367B82" w:rsidP="00094BE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094BED" w:rsidRPr="00094BED" w:rsidRDefault="00094BED" w:rsidP="00094BE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2C46EB">
        <w:rPr>
          <w:b/>
          <w:bCs/>
          <w:sz w:val="28"/>
          <w:szCs w:val="28"/>
          <w:lang w:val="uk-UA"/>
        </w:rPr>
        <w:t>П</w:t>
      </w:r>
      <w:r w:rsidRPr="00094BED">
        <w:rPr>
          <w:b/>
          <w:bCs/>
          <w:sz w:val="28"/>
          <w:szCs w:val="28"/>
          <w:lang w:val="uk-UA"/>
        </w:rPr>
        <w:t>ОРЯДОК</w:t>
      </w:r>
    </w:p>
    <w:p w:rsidR="00094BED" w:rsidRPr="00094BED" w:rsidRDefault="00094BED" w:rsidP="00094BE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  <w:r w:rsidRPr="00094BED">
        <w:rPr>
          <w:b/>
          <w:bCs/>
          <w:sz w:val="28"/>
          <w:szCs w:val="28"/>
          <w:lang w:val="uk-UA"/>
        </w:rPr>
        <w:t xml:space="preserve">роботи телефонної «гарячої лінії» Державної екологічної інспекції </w:t>
      </w:r>
    </w:p>
    <w:p w:rsidR="00094BED" w:rsidRPr="00094BED" w:rsidRDefault="00094BED" w:rsidP="00094BE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  <w:r w:rsidRPr="00094BED">
        <w:rPr>
          <w:b/>
          <w:bCs/>
          <w:sz w:val="28"/>
          <w:szCs w:val="28"/>
          <w:lang w:val="uk-UA"/>
        </w:rPr>
        <w:t>Поліського округу</w:t>
      </w:r>
    </w:p>
    <w:p w:rsidR="00094BED" w:rsidRDefault="00094BED" w:rsidP="00D119B6">
      <w:pPr>
        <w:jc w:val="center"/>
        <w:rPr>
          <w:sz w:val="28"/>
          <w:szCs w:val="28"/>
        </w:rPr>
      </w:pPr>
    </w:p>
    <w:p w:rsidR="000B128D" w:rsidRPr="00D12701" w:rsidRDefault="00094BED" w:rsidP="00D119B6">
      <w:pPr>
        <w:jc w:val="center"/>
        <w:rPr>
          <w:b/>
          <w:sz w:val="28"/>
          <w:szCs w:val="28"/>
          <w:lang w:val="uk-UA"/>
        </w:rPr>
      </w:pPr>
      <w:r w:rsidRPr="00D12701">
        <w:rPr>
          <w:b/>
          <w:sz w:val="28"/>
          <w:szCs w:val="28"/>
          <w:lang w:val="uk-UA"/>
        </w:rPr>
        <w:t>І. Загальні положення</w:t>
      </w:r>
    </w:p>
    <w:p w:rsidR="00094BED" w:rsidRDefault="00094BED" w:rsidP="00094BED">
      <w:pPr>
        <w:rPr>
          <w:sz w:val="28"/>
          <w:szCs w:val="28"/>
          <w:lang w:val="uk-UA"/>
        </w:rPr>
      </w:pPr>
    </w:p>
    <w:p w:rsidR="00094BED" w:rsidRDefault="00094BED" w:rsidP="00D12701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Цей Порядок розроблено відповідно до статті 40 Конституції України, Закону України «Про звернення громадян»,  </w:t>
      </w:r>
      <w:r w:rsidR="00D12701" w:rsidRPr="00D12701">
        <w:rPr>
          <w:sz w:val="28"/>
          <w:szCs w:val="28"/>
          <w:lang w:val="uk-UA"/>
        </w:rPr>
        <w:t>Указу  Президента України від 07 лютого 2008 року №109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 w:rsidR="00D12701">
        <w:rPr>
          <w:sz w:val="28"/>
          <w:szCs w:val="28"/>
          <w:lang w:val="uk-UA"/>
        </w:rPr>
        <w:t xml:space="preserve"> з метою підвищення </w:t>
      </w:r>
      <w:r>
        <w:rPr>
          <w:sz w:val="28"/>
          <w:szCs w:val="28"/>
          <w:lang w:val="uk-UA"/>
        </w:rPr>
        <w:t xml:space="preserve"> </w:t>
      </w:r>
      <w:r w:rsidR="00D12701">
        <w:rPr>
          <w:sz w:val="28"/>
          <w:szCs w:val="28"/>
          <w:lang w:val="uk-UA"/>
        </w:rPr>
        <w:t>ефективності роботи Державної екологічної інспекції Поліського округу (далі – Інспекція) зі зверненнями громадян, об</w:t>
      </w:r>
      <w:r w:rsidR="00D12701" w:rsidRPr="00D12701">
        <w:rPr>
          <w:sz w:val="28"/>
          <w:szCs w:val="28"/>
          <w:lang w:val="uk-UA"/>
        </w:rPr>
        <w:t>’</w:t>
      </w:r>
      <w:r w:rsidR="00D12701">
        <w:rPr>
          <w:sz w:val="28"/>
          <w:szCs w:val="28"/>
          <w:lang w:val="uk-UA"/>
        </w:rPr>
        <w:t>єктивного та вчасного їх розгляду згідно з вимогами законодавства України.</w:t>
      </w:r>
    </w:p>
    <w:p w:rsidR="00D12701" w:rsidRDefault="00D12701" w:rsidP="00D12701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визначає організацію роботи телефонної «гарячої лінії» Інспекції, механізм прийому, реєстрації, оперативного розгляду та надання відповідей га звернення, які надходять на телефонну «гарячу лінію».</w:t>
      </w:r>
    </w:p>
    <w:p w:rsidR="00D12701" w:rsidRDefault="00126288" w:rsidP="00D12701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Посадові особи Інспекції, які забезпечують роботу телефонної «гарячої лінії», у своїй діяльності керуються Конституцією України, законами України «Про звернення громадян», «Про державну службу», Указом </w:t>
      </w:r>
      <w:r w:rsidRPr="00D12701">
        <w:rPr>
          <w:sz w:val="28"/>
          <w:szCs w:val="28"/>
          <w:lang w:val="uk-UA"/>
        </w:rPr>
        <w:t>Президента України від 07 лютого 2008 року №109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>
        <w:rPr>
          <w:sz w:val="28"/>
          <w:szCs w:val="28"/>
          <w:lang w:val="uk-UA"/>
        </w:rPr>
        <w:t>, Положенням про Державну екологі</w:t>
      </w:r>
      <w:r w:rsidR="00345093">
        <w:rPr>
          <w:sz w:val="28"/>
          <w:szCs w:val="28"/>
          <w:lang w:val="uk-UA"/>
        </w:rPr>
        <w:t>чну інспекцію Поліськ</w:t>
      </w:r>
      <w:r w:rsidR="00D119B6">
        <w:rPr>
          <w:sz w:val="28"/>
          <w:szCs w:val="28"/>
          <w:lang w:val="uk-UA"/>
        </w:rPr>
        <w:t xml:space="preserve">ого округу, </w:t>
      </w:r>
      <w:r w:rsidR="00D119B6" w:rsidRPr="00ED3CBE">
        <w:rPr>
          <w:sz w:val="28"/>
          <w:szCs w:val="28"/>
          <w:lang w:val="uk-UA"/>
        </w:rPr>
        <w:t>затвердженого наказом Державної екологічної інспекції України №58 від 02 лютого 2021 року</w:t>
      </w:r>
      <w:r w:rsidR="00D119B6">
        <w:rPr>
          <w:sz w:val="28"/>
          <w:szCs w:val="28"/>
          <w:lang w:val="uk-UA"/>
        </w:rPr>
        <w:t>, іншими нормативно-правовими актами та цим Порядком.</w:t>
      </w:r>
    </w:p>
    <w:p w:rsidR="00D119B6" w:rsidRDefault="00D119B6" w:rsidP="00D12701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Функціонування телефонної «гарячої лінії» здійснюється з метою встановлення додаткових гарантій прав громадян на звернення з питань, що належать до компетенції Інспекції, підвищення довіри громадян до Інспекції, а також для прийому повідомлень про факти невиконання службових обов</w:t>
      </w:r>
      <w:r w:rsidRPr="00D119B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язків, перевищення службових повноважень посадовими особами Інспекції.</w:t>
      </w:r>
    </w:p>
    <w:p w:rsidR="00D119B6" w:rsidRDefault="00D119B6" w:rsidP="00D119B6">
      <w:pPr>
        <w:pStyle w:val="a4"/>
        <w:jc w:val="both"/>
        <w:rPr>
          <w:sz w:val="28"/>
          <w:szCs w:val="28"/>
          <w:lang w:val="uk-UA"/>
        </w:rPr>
      </w:pPr>
    </w:p>
    <w:p w:rsidR="00D119B6" w:rsidRDefault="00D119B6" w:rsidP="00D119B6">
      <w:pPr>
        <w:pStyle w:val="a4"/>
        <w:jc w:val="both"/>
        <w:rPr>
          <w:sz w:val="28"/>
          <w:szCs w:val="28"/>
          <w:lang w:val="uk-UA"/>
        </w:rPr>
      </w:pPr>
    </w:p>
    <w:p w:rsidR="00367B82" w:rsidRDefault="00367B82" w:rsidP="00D119B6">
      <w:pPr>
        <w:pStyle w:val="a4"/>
        <w:jc w:val="both"/>
        <w:rPr>
          <w:sz w:val="28"/>
          <w:szCs w:val="28"/>
          <w:lang w:val="uk-UA"/>
        </w:rPr>
      </w:pPr>
    </w:p>
    <w:p w:rsidR="00D119B6" w:rsidRDefault="00D119B6" w:rsidP="00D119B6">
      <w:pPr>
        <w:pStyle w:val="a4"/>
        <w:jc w:val="both"/>
        <w:rPr>
          <w:sz w:val="28"/>
          <w:szCs w:val="28"/>
          <w:lang w:val="uk-UA"/>
        </w:rPr>
      </w:pPr>
    </w:p>
    <w:p w:rsidR="00D119B6" w:rsidRDefault="00D119B6" w:rsidP="00D119B6">
      <w:pPr>
        <w:pStyle w:val="a4"/>
        <w:jc w:val="both"/>
        <w:rPr>
          <w:sz w:val="28"/>
          <w:szCs w:val="28"/>
          <w:lang w:val="uk-UA"/>
        </w:rPr>
      </w:pPr>
    </w:p>
    <w:p w:rsidR="00D119B6" w:rsidRDefault="00D119B6" w:rsidP="00D119B6">
      <w:pPr>
        <w:jc w:val="center"/>
        <w:rPr>
          <w:b/>
          <w:sz w:val="28"/>
          <w:szCs w:val="28"/>
          <w:lang w:val="uk-UA"/>
        </w:rPr>
      </w:pPr>
      <w:r w:rsidRPr="00D12701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І. Порядок роботи телефонної «гарячої лінії»</w:t>
      </w:r>
    </w:p>
    <w:p w:rsidR="00D119B6" w:rsidRDefault="00D119B6" w:rsidP="00D119B6">
      <w:pPr>
        <w:jc w:val="center"/>
        <w:rPr>
          <w:b/>
          <w:sz w:val="28"/>
          <w:szCs w:val="28"/>
          <w:lang w:val="uk-UA"/>
        </w:rPr>
      </w:pPr>
    </w:p>
    <w:p w:rsidR="00D119B6" w:rsidRDefault="00D119B6" w:rsidP="00D119B6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Телефонна «гаряча лінія»</w:t>
      </w:r>
      <w:r w:rsidR="00F8127E">
        <w:rPr>
          <w:sz w:val="28"/>
          <w:szCs w:val="28"/>
          <w:lang w:val="uk-UA"/>
        </w:rPr>
        <w:t xml:space="preserve"> працює в </w:t>
      </w:r>
      <w:r>
        <w:rPr>
          <w:sz w:val="28"/>
          <w:szCs w:val="28"/>
          <w:lang w:val="uk-UA"/>
        </w:rPr>
        <w:t xml:space="preserve"> адміністративних будівлях Державної екологічної інспекції поліського округу (далі – Інспекції) за адресами: вул. Л.Качинського,12а, м. Житомир, вул. Відінська,10,</w:t>
      </w:r>
      <w:r w:rsidR="00F8127E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м. </w:t>
      </w:r>
      <w:r w:rsidR="00F8127E">
        <w:rPr>
          <w:sz w:val="28"/>
          <w:szCs w:val="28"/>
          <w:lang w:val="uk-UA"/>
        </w:rPr>
        <w:t>Рівне.</w:t>
      </w:r>
    </w:p>
    <w:p w:rsidR="002107BA" w:rsidRDefault="002107BA" w:rsidP="002107BA">
      <w:pPr>
        <w:pStyle w:val="a4"/>
        <w:jc w:val="both"/>
        <w:rPr>
          <w:sz w:val="28"/>
          <w:szCs w:val="28"/>
          <w:lang w:val="uk-UA"/>
        </w:rPr>
      </w:pPr>
    </w:p>
    <w:p w:rsidR="00F8127E" w:rsidRDefault="00F8127E" w:rsidP="00D119B6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Прийом телефонних дзвінків на телефонну «гарячу лінію» проводиться з понеділка по четвер – з 8.00 до 17.00, у п</w:t>
      </w:r>
      <w:r w:rsidRPr="00F8127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ятницю</w:t>
      </w:r>
      <w:proofErr w:type="spellEnd"/>
      <w:r>
        <w:rPr>
          <w:sz w:val="28"/>
          <w:szCs w:val="28"/>
          <w:lang w:val="uk-UA"/>
        </w:rPr>
        <w:t xml:space="preserve"> - з 8.00 до 15.45 (з перервою на обід з 12.00 до 12.45, за винятком святкових та вихідних днів)</w:t>
      </w:r>
      <w:r w:rsidR="00CE462B">
        <w:rPr>
          <w:sz w:val="28"/>
          <w:szCs w:val="28"/>
          <w:lang w:val="uk-UA"/>
        </w:rPr>
        <w:t xml:space="preserve"> за номерами телефонів: (0412)46-49-54,</w:t>
      </w:r>
      <w:r w:rsidR="002107BA">
        <w:rPr>
          <w:sz w:val="28"/>
          <w:szCs w:val="28"/>
          <w:lang w:val="uk-UA"/>
        </w:rPr>
        <w:t xml:space="preserve"> 068-717-03-34 – Житомирська область, (0362)67-14-51, 098-429-86-90 – Рівненська область.</w:t>
      </w:r>
    </w:p>
    <w:p w:rsidR="002107BA" w:rsidRDefault="002107BA" w:rsidP="002107BA">
      <w:pPr>
        <w:pStyle w:val="a4"/>
        <w:jc w:val="both"/>
        <w:rPr>
          <w:sz w:val="28"/>
          <w:szCs w:val="28"/>
          <w:lang w:val="uk-UA"/>
        </w:rPr>
      </w:pPr>
    </w:p>
    <w:p w:rsidR="002107BA" w:rsidRDefault="002107BA" w:rsidP="00D119B6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Функціонування телефонної «гарячої лінії» забезпечують </w:t>
      </w:r>
      <w:r w:rsidR="007B51C2">
        <w:rPr>
          <w:sz w:val="28"/>
          <w:szCs w:val="28"/>
          <w:lang w:val="uk-UA"/>
        </w:rPr>
        <w:t xml:space="preserve">Сектор взаємодії з громадськістю та ЗМІ, </w:t>
      </w:r>
      <w:r>
        <w:rPr>
          <w:sz w:val="28"/>
          <w:szCs w:val="28"/>
          <w:lang w:val="uk-UA"/>
        </w:rPr>
        <w:t>Відділ організаційно-аналітичної діяльності, документування та контролю та Відділ забезпечення діяльністю.</w:t>
      </w:r>
    </w:p>
    <w:p w:rsidR="00F8127E" w:rsidRDefault="00F8127E" w:rsidP="00F8127E">
      <w:pPr>
        <w:rPr>
          <w:lang w:val="uk-UA"/>
        </w:rPr>
      </w:pPr>
    </w:p>
    <w:p w:rsidR="002107BA" w:rsidRPr="002107BA" w:rsidRDefault="002107BA" w:rsidP="002107BA">
      <w:pPr>
        <w:jc w:val="center"/>
        <w:rPr>
          <w:b/>
          <w:sz w:val="28"/>
          <w:szCs w:val="28"/>
          <w:lang w:val="uk-UA"/>
        </w:rPr>
      </w:pPr>
      <w:r w:rsidRPr="002107BA">
        <w:rPr>
          <w:b/>
          <w:sz w:val="28"/>
          <w:szCs w:val="28"/>
          <w:lang w:val="uk-UA"/>
        </w:rPr>
        <w:t>ІІІ. Основні завдання роботи телефонної «гарячої лінії»</w:t>
      </w:r>
    </w:p>
    <w:p w:rsidR="00F8127E" w:rsidRPr="002107BA" w:rsidRDefault="00F8127E" w:rsidP="002107BA">
      <w:pPr>
        <w:tabs>
          <w:tab w:val="left" w:pos="4035"/>
        </w:tabs>
        <w:jc w:val="center"/>
        <w:rPr>
          <w:sz w:val="28"/>
          <w:szCs w:val="28"/>
          <w:lang w:val="uk-UA"/>
        </w:rPr>
      </w:pPr>
    </w:p>
    <w:p w:rsidR="00F8127E" w:rsidRDefault="002107BA" w:rsidP="0044227E">
      <w:pPr>
        <w:tabs>
          <w:tab w:val="left" w:pos="601"/>
          <w:tab w:val="left" w:pos="8355"/>
        </w:tabs>
        <w:rPr>
          <w:sz w:val="28"/>
          <w:szCs w:val="28"/>
          <w:lang w:val="uk-UA"/>
        </w:rPr>
      </w:pPr>
      <w:r w:rsidRPr="002107BA">
        <w:rPr>
          <w:sz w:val="28"/>
          <w:szCs w:val="28"/>
          <w:lang w:val="uk-UA"/>
        </w:rPr>
        <w:t xml:space="preserve">Основним завданням телефонної </w:t>
      </w:r>
      <w:r>
        <w:rPr>
          <w:sz w:val="28"/>
          <w:szCs w:val="28"/>
          <w:lang w:val="uk-UA"/>
        </w:rPr>
        <w:t>«гарячої лінії» є:</w:t>
      </w:r>
    </w:p>
    <w:p w:rsidR="002C46EB" w:rsidRDefault="002C46EB" w:rsidP="0044227E">
      <w:pPr>
        <w:tabs>
          <w:tab w:val="left" w:pos="601"/>
          <w:tab w:val="left" w:pos="8355"/>
        </w:tabs>
        <w:rPr>
          <w:sz w:val="28"/>
          <w:szCs w:val="28"/>
          <w:lang w:val="uk-UA"/>
        </w:rPr>
      </w:pPr>
    </w:p>
    <w:p w:rsidR="002107BA" w:rsidRDefault="002107BA" w:rsidP="002C46EB">
      <w:pPr>
        <w:pStyle w:val="a4"/>
        <w:numPr>
          <w:ilvl w:val="0"/>
          <w:numId w:val="5"/>
        </w:numPr>
        <w:tabs>
          <w:tab w:val="left" w:pos="601"/>
          <w:tab w:val="left" w:pos="8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 довідково-консультативної допомоги;</w:t>
      </w:r>
    </w:p>
    <w:p w:rsidR="002107BA" w:rsidRPr="002107BA" w:rsidRDefault="002107BA" w:rsidP="002C46EB">
      <w:pPr>
        <w:pStyle w:val="a4"/>
        <w:numPr>
          <w:ilvl w:val="0"/>
          <w:numId w:val="5"/>
        </w:numPr>
        <w:tabs>
          <w:tab w:val="left" w:pos="601"/>
          <w:tab w:val="left" w:pos="8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прийняття, реєстрація та облік пропозицій, заяв і скарг громадян, що стосуються діяльності Інспекції.</w:t>
      </w:r>
    </w:p>
    <w:p w:rsidR="0044227E" w:rsidRPr="00F8127E" w:rsidRDefault="0044227E" w:rsidP="0044227E">
      <w:pPr>
        <w:tabs>
          <w:tab w:val="left" w:pos="3133"/>
        </w:tabs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44227E" w:rsidRPr="002107BA" w:rsidRDefault="0044227E" w:rsidP="004F6A76">
      <w:pPr>
        <w:jc w:val="center"/>
        <w:rPr>
          <w:b/>
          <w:sz w:val="28"/>
          <w:szCs w:val="28"/>
          <w:lang w:val="uk-UA"/>
        </w:rPr>
      </w:pPr>
      <w:r w:rsidRPr="002107BA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2107BA">
        <w:rPr>
          <w:b/>
          <w:sz w:val="28"/>
          <w:szCs w:val="28"/>
          <w:lang w:val="uk-UA"/>
        </w:rPr>
        <w:t xml:space="preserve">. </w:t>
      </w:r>
      <w:r w:rsidR="004F6A76">
        <w:rPr>
          <w:b/>
          <w:sz w:val="28"/>
          <w:szCs w:val="28"/>
          <w:lang w:val="uk-UA"/>
        </w:rPr>
        <w:t>Порядок прийому, реєстрації і розгляду звернень, що надійшли на телефонну «гарячу лінію»</w:t>
      </w:r>
    </w:p>
    <w:p w:rsidR="004F6A76" w:rsidRDefault="004F6A76" w:rsidP="0044227E">
      <w:pPr>
        <w:jc w:val="center"/>
        <w:rPr>
          <w:sz w:val="28"/>
          <w:szCs w:val="28"/>
          <w:lang w:val="uk-UA"/>
        </w:rPr>
      </w:pPr>
    </w:p>
    <w:p w:rsidR="005D69C1" w:rsidRDefault="004F6A76" w:rsidP="004F6A76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Звернення, в яких порушено питання довідкового та консультативного характеру, а також ті, які не потребують додаткового вивчення, розглядаються безпосередньо при зверненні шляхом надання консультацій.</w:t>
      </w:r>
    </w:p>
    <w:p w:rsidR="00906F54" w:rsidRDefault="00906F54" w:rsidP="00906F54">
      <w:pPr>
        <w:pStyle w:val="a4"/>
        <w:ind w:left="1069"/>
        <w:jc w:val="both"/>
        <w:rPr>
          <w:sz w:val="28"/>
          <w:szCs w:val="28"/>
          <w:lang w:val="uk-UA"/>
        </w:rPr>
      </w:pPr>
    </w:p>
    <w:p w:rsidR="004F6A76" w:rsidRDefault="004F6A76" w:rsidP="004F6A76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питання, з якими звернувся громадянин, не належать до компетенції Інспекції, посадова особа, яка здійснює прийом телефонного</w:t>
      </w:r>
      <w:r w:rsidR="003E7FA5">
        <w:rPr>
          <w:sz w:val="28"/>
          <w:szCs w:val="28"/>
          <w:lang w:val="uk-UA"/>
        </w:rPr>
        <w:t xml:space="preserve"> звернення, пояснює громадянину, до якого органу державної влади або органу місцевого самоврядування, підприємства, організації чи установи доцільно звернутися, і за можливості надає адресу, номер телефону.</w:t>
      </w:r>
    </w:p>
    <w:p w:rsidR="00906F54" w:rsidRDefault="00906F54" w:rsidP="00906F54">
      <w:pPr>
        <w:pStyle w:val="a4"/>
        <w:ind w:left="1069"/>
        <w:jc w:val="both"/>
        <w:rPr>
          <w:sz w:val="28"/>
          <w:szCs w:val="28"/>
          <w:lang w:val="uk-UA"/>
        </w:rPr>
      </w:pPr>
    </w:p>
    <w:p w:rsidR="002D1C87" w:rsidRDefault="002D1C87" w:rsidP="004F6A76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якщо факти та обставини, викладені у зверненні вимагають додаткового вивчення, посадова особа має право рекомендувати звернутися до Інспекції з письмовим зверненням у порядку, визначеному Законом України «Про звернення громадян».</w:t>
      </w:r>
    </w:p>
    <w:p w:rsidR="00906F54" w:rsidRDefault="002D1C87" w:rsidP="00906F54">
      <w:pPr>
        <w:pStyle w:val="3"/>
        <w:keepNext w:val="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06F54">
        <w:rPr>
          <w:rFonts w:ascii="Times New Roman" w:hAnsi="Times New Roman"/>
          <w:b w:val="0"/>
          <w:i w:val="0"/>
          <w:sz w:val="28"/>
          <w:szCs w:val="28"/>
        </w:rPr>
        <w:t xml:space="preserve">Усі звернення, що потребують додаткового вивчення і відповідь на які не може бути надана по телефону, реєструються в день їх надходження </w:t>
      </w:r>
      <w:r w:rsidR="00906F54" w:rsidRPr="00906F54">
        <w:rPr>
          <w:rFonts w:ascii="Times New Roman" w:hAnsi="Times New Roman"/>
          <w:b w:val="0"/>
          <w:i w:val="0"/>
          <w:sz w:val="28"/>
          <w:szCs w:val="28"/>
        </w:rPr>
        <w:t>службою діловодства Інспекції з використанням системи електронного документообігу</w:t>
      </w:r>
      <w:r w:rsidR="00906F54">
        <w:rPr>
          <w:rFonts w:ascii="Times New Roman" w:hAnsi="Times New Roman"/>
          <w:b w:val="0"/>
          <w:i w:val="0"/>
          <w:sz w:val="28"/>
          <w:szCs w:val="28"/>
        </w:rPr>
        <w:t xml:space="preserve"> у журналі обліку звернень громадян, що надійшли на </w:t>
      </w:r>
      <w:r w:rsidR="00906F54">
        <w:rPr>
          <w:rFonts w:ascii="Times New Roman" w:hAnsi="Times New Roman"/>
          <w:b w:val="0"/>
          <w:i w:val="0"/>
          <w:sz w:val="28"/>
          <w:szCs w:val="28"/>
        </w:rPr>
        <w:lastRenderedPageBreak/>
        <w:t>телефонну «гарячу лінію».</w:t>
      </w:r>
    </w:p>
    <w:p w:rsidR="00906F54" w:rsidRPr="00906F54" w:rsidRDefault="00906F54" w:rsidP="00906F54">
      <w:pPr>
        <w:rPr>
          <w:lang w:val="uk-UA"/>
        </w:rPr>
      </w:pPr>
    </w:p>
    <w:p w:rsidR="00906F54" w:rsidRDefault="00906F54" w:rsidP="00906F54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Заявник при зверненні на телефонну «гарячу лінію» повідомляє:</w:t>
      </w:r>
    </w:p>
    <w:p w:rsidR="00906F54" w:rsidRPr="002C46EB" w:rsidRDefault="00906F54" w:rsidP="00906F54">
      <w:pPr>
        <w:pStyle w:val="a4"/>
        <w:ind w:left="106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2C46E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по батькові;</w:t>
      </w:r>
    </w:p>
    <w:p w:rsidR="00906F54" w:rsidRDefault="00906F54" w:rsidP="00906F54">
      <w:pPr>
        <w:pStyle w:val="a4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суть порушеного питання, пропозиції, заяви чи скарги;</w:t>
      </w:r>
    </w:p>
    <w:p w:rsidR="00906F54" w:rsidRDefault="00906F54" w:rsidP="00906F54">
      <w:pPr>
        <w:pStyle w:val="a4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поштову адресу та (або) адресу електронної пошти, на яку має бути спрямована відповідь по суті звернення;</w:t>
      </w:r>
    </w:p>
    <w:p w:rsidR="00906F54" w:rsidRDefault="00906F54" w:rsidP="00906F54">
      <w:pPr>
        <w:pStyle w:val="a4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телефону (за згодою).</w:t>
      </w:r>
    </w:p>
    <w:p w:rsidR="00906F54" w:rsidRDefault="00906F54" w:rsidP="00906F54">
      <w:pPr>
        <w:pStyle w:val="a4"/>
        <w:ind w:left="1069"/>
        <w:jc w:val="both"/>
        <w:rPr>
          <w:sz w:val="28"/>
          <w:szCs w:val="28"/>
          <w:lang w:val="uk-UA"/>
        </w:rPr>
      </w:pPr>
    </w:p>
    <w:p w:rsidR="00906F54" w:rsidRDefault="00AD235C" w:rsidP="00AD235C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 коли заявник не вимагає письмової відповіді, остання не надається, про що робиться відмітка у картці.</w:t>
      </w:r>
    </w:p>
    <w:p w:rsidR="00570055" w:rsidRDefault="00570055" w:rsidP="00570055">
      <w:pPr>
        <w:pStyle w:val="a4"/>
        <w:ind w:left="1069"/>
        <w:jc w:val="both"/>
        <w:rPr>
          <w:sz w:val="28"/>
          <w:szCs w:val="28"/>
          <w:lang w:val="uk-UA"/>
        </w:rPr>
      </w:pPr>
    </w:p>
    <w:p w:rsidR="00570055" w:rsidRDefault="00570055" w:rsidP="00AD235C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резолюції Начальника чи його заступників реєстраційна картка звернення направляється до відповідного структурного підрозділу Інспекції для проведення перевірки фактів зазначених у зверненні та їх вирішення по суті відповідно до Закону України «Про звернення громадян».</w:t>
      </w:r>
    </w:p>
    <w:p w:rsidR="00570055" w:rsidRPr="00570055" w:rsidRDefault="00570055" w:rsidP="00570055">
      <w:pPr>
        <w:pStyle w:val="a4"/>
        <w:rPr>
          <w:sz w:val="28"/>
          <w:szCs w:val="28"/>
          <w:lang w:val="uk-UA"/>
        </w:rPr>
      </w:pPr>
    </w:p>
    <w:p w:rsidR="00570055" w:rsidRDefault="00570055" w:rsidP="00AD235C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Структурний підрозділ Інспекції, на який згідно резолюції керівництва Інспекції, покладено розгляд звернення (далі – виконавець), забезпечує об</w:t>
      </w:r>
      <w:r w:rsidRPr="0057005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єктивний і вчасний розгляд, перевіряє викладені в ньому факти, приймає у разі потреби відповідні рішення. </w:t>
      </w:r>
    </w:p>
    <w:p w:rsidR="00570055" w:rsidRPr="00570055" w:rsidRDefault="00570055" w:rsidP="00570055">
      <w:pPr>
        <w:pStyle w:val="a4"/>
        <w:rPr>
          <w:sz w:val="28"/>
          <w:szCs w:val="28"/>
          <w:lang w:val="uk-UA"/>
        </w:rPr>
      </w:pPr>
    </w:p>
    <w:p w:rsidR="00570055" w:rsidRDefault="00570055" w:rsidP="00AD235C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Анонімні повідомлення не реєструються і не розглядаються.</w:t>
      </w:r>
    </w:p>
    <w:p w:rsidR="00D41675" w:rsidRPr="00D41675" w:rsidRDefault="00D41675" w:rsidP="00D41675">
      <w:pPr>
        <w:pStyle w:val="a4"/>
        <w:rPr>
          <w:sz w:val="28"/>
          <w:szCs w:val="28"/>
          <w:lang w:val="uk-UA"/>
        </w:rPr>
      </w:pPr>
    </w:p>
    <w:p w:rsidR="00570055" w:rsidRDefault="00570055" w:rsidP="00570055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D41675">
        <w:rPr>
          <w:sz w:val="28"/>
          <w:szCs w:val="28"/>
          <w:lang w:val="uk-UA"/>
        </w:rPr>
        <w:t>Діловодство за зверненнями громадян, що надійшли на телефонну «гарячу лінію», ведеться відповідно до Інструкції з діловодства за зверненнями громадян в органах державної влади і місцевого самоврядування, об</w:t>
      </w:r>
      <w:r w:rsidRPr="00D41675">
        <w:rPr>
          <w:sz w:val="28"/>
          <w:szCs w:val="28"/>
        </w:rPr>
        <w:t>’</w:t>
      </w:r>
      <w:r w:rsidRPr="00D41675">
        <w:rPr>
          <w:sz w:val="28"/>
          <w:szCs w:val="28"/>
          <w:lang w:val="uk-UA"/>
        </w:rPr>
        <w:t>єднаннях громадян, на підприємствах, в установах, організаціях незалежно від форм власності, в  засобах масової інформації, затвердженої постановою Кабінету Міністрів України від 14 квітня 1997 року №348 (із змінами).</w:t>
      </w:r>
    </w:p>
    <w:p w:rsidR="00D41675" w:rsidRPr="00D41675" w:rsidRDefault="00D41675" w:rsidP="00D41675">
      <w:pPr>
        <w:pStyle w:val="a4"/>
        <w:rPr>
          <w:sz w:val="28"/>
          <w:szCs w:val="28"/>
          <w:lang w:val="uk-UA"/>
        </w:rPr>
      </w:pPr>
    </w:p>
    <w:p w:rsidR="00D41675" w:rsidRDefault="00D41675" w:rsidP="00570055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необхідністю, для прийняття рішень, посадові особи, відповідальні за роботу телефонної «гарячої лінії», можуть також залучати структурні підрозділи Інспекції.</w:t>
      </w:r>
    </w:p>
    <w:p w:rsidR="00D41675" w:rsidRPr="00D41675" w:rsidRDefault="00D41675" w:rsidP="00D41675">
      <w:pPr>
        <w:pStyle w:val="a4"/>
        <w:rPr>
          <w:sz w:val="28"/>
          <w:szCs w:val="28"/>
          <w:lang w:val="uk-UA"/>
        </w:rPr>
      </w:pPr>
    </w:p>
    <w:p w:rsidR="00D41675" w:rsidRDefault="00D41675" w:rsidP="00570055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достовірність та якість інформаційного матеріалу, викладеного у відповіді на звернення, а також контроль за вчасним розглядом звернень, що надійшли на телефонну «гарячу лінію», несуть керівники структурних підрозділів Інспекції.</w:t>
      </w:r>
    </w:p>
    <w:p w:rsidR="00D41675" w:rsidRDefault="00D41675" w:rsidP="00D41675">
      <w:pPr>
        <w:rPr>
          <w:lang w:val="uk-UA"/>
        </w:rPr>
      </w:pPr>
    </w:p>
    <w:p w:rsidR="007B51C2" w:rsidRDefault="007B51C2" w:rsidP="00D41675">
      <w:pPr>
        <w:jc w:val="center"/>
        <w:rPr>
          <w:b/>
          <w:sz w:val="28"/>
          <w:szCs w:val="28"/>
          <w:lang w:val="uk-UA"/>
        </w:rPr>
      </w:pPr>
    </w:p>
    <w:p w:rsidR="00D41675" w:rsidRPr="002107BA" w:rsidRDefault="00D41675" w:rsidP="00D416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Pr="002107BA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Строки розгляду звернень</w:t>
      </w:r>
    </w:p>
    <w:p w:rsidR="00D41675" w:rsidRDefault="00D41675" w:rsidP="00D41675">
      <w:pPr>
        <w:tabs>
          <w:tab w:val="left" w:pos="3750"/>
        </w:tabs>
        <w:rPr>
          <w:lang w:val="uk-UA"/>
        </w:rPr>
      </w:pPr>
    </w:p>
    <w:p w:rsidR="00D41675" w:rsidRDefault="00D41675" w:rsidP="00D41675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D41675">
        <w:rPr>
          <w:sz w:val="28"/>
          <w:szCs w:val="28"/>
          <w:lang w:val="uk-UA"/>
        </w:rPr>
        <w:t xml:space="preserve">Строк </w:t>
      </w:r>
      <w:r>
        <w:rPr>
          <w:sz w:val="28"/>
          <w:szCs w:val="28"/>
          <w:lang w:val="uk-UA"/>
        </w:rPr>
        <w:t xml:space="preserve">розгляду звернення не повинен перевищувати строків, які визначенні чинним законодавством. Звернення, які не потребують </w:t>
      </w:r>
      <w:r>
        <w:rPr>
          <w:sz w:val="28"/>
          <w:szCs w:val="28"/>
          <w:lang w:val="uk-UA"/>
        </w:rPr>
        <w:lastRenderedPageBreak/>
        <w:t xml:space="preserve">додаткового вивчення, розглядаються протягом 5 днів, а ті, що потребують додаткового вивчення – протягом 15 днів після їх надходження. У разі коли виконавець </w:t>
      </w:r>
      <w:r w:rsidR="002E61D4">
        <w:rPr>
          <w:sz w:val="28"/>
          <w:szCs w:val="28"/>
          <w:lang w:val="uk-UA"/>
        </w:rPr>
        <w:t>прийняв рішення щодо продовження строку розгляду звернення, він інформує про це в установленому порядку заявника та відповідальна особа вносить відповідну інформацію до бази даних. При цьому загальний строк вирішення питань, порушених у зверненні, не може перевищувати 30 днів.</w:t>
      </w:r>
    </w:p>
    <w:p w:rsidR="00A42048" w:rsidRDefault="00A42048" w:rsidP="00A42048">
      <w:pPr>
        <w:pStyle w:val="a4"/>
        <w:jc w:val="both"/>
        <w:rPr>
          <w:sz w:val="28"/>
          <w:szCs w:val="28"/>
          <w:lang w:val="uk-UA"/>
        </w:rPr>
      </w:pPr>
    </w:p>
    <w:p w:rsidR="00A42048" w:rsidRDefault="00A42048" w:rsidP="00D41675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Звернення, що потребують детальнішого вивчення, розглядаються в такому самому порядку, що й письмові звернення, відповідно до Закону України «Про звернення громадян».</w:t>
      </w:r>
    </w:p>
    <w:p w:rsidR="00A42048" w:rsidRDefault="00A42048" w:rsidP="00A42048">
      <w:pPr>
        <w:pStyle w:val="a4"/>
        <w:jc w:val="both"/>
        <w:rPr>
          <w:sz w:val="28"/>
          <w:szCs w:val="28"/>
          <w:lang w:val="uk-UA"/>
        </w:rPr>
      </w:pPr>
    </w:p>
    <w:p w:rsidR="00A42048" w:rsidRDefault="00A42048" w:rsidP="00D41675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Звернення громадян, які мають установлені законодавством пільги, розглядаються в першочерговому порядку.</w:t>
      </w:r>
    </w:p>
    <w:p w:rsidR="00A42048" w:rsidRDefault="00A42048" w:rsidP="00A42048">
      <w:pPr>
        <w:pStyle w:val="a4"/>
        <w:jc w:val="both"/>
        <w:rPr>
          <w:sz w:val="28"/>
          <w:szCs w:val="28"/>
          <w:lang w:val="uk-UA"/>
        </w:rPr>
      </w:pPr>
    </w:p>
    <w:p w:rsidR="00A42048" w:rsidRPr="002107BA" w:rsidRDefault="00A42048" w:rsidP="00A42048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 w:rsidRPr="002107BA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Правила етикету та службової поведінки під час телефонної розмови</w:t>
      </w:r>
    </w:p>
    <w:p w:rsidR="00A42048" w:rsidRDefault="00A42048" w:rsidP="00A42048">
      <w:pPr>
        <w:tabs>
          <w:tab w:val="left" w:pos="4019"/>
        </w:tabs>
        <w:rPr>
          <w:lang w:val="uk-UA"/>
        </w:rPr>
      </w:pPr>
    </w:p>
    <w:p w:rsidR="00A42048" w:rsidRDefault="00A42048" w:rsidP="00A42048">
      <w:pPr>
        <w:pStyle w:val="a4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A42048">
        <w:rPr>
          <w:sz w:val="28"/>
          <w:szCs w:val="28"/>
          <w:lang w:val="uk-UA"/>
        </w:rPr>
        <w:t>Посадова особа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зобов</w:t>
      </w:r>
      <w:proofErr w:type="spellEnd"/>
      <w:r w:rsidRPr="00A4204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язана</w:t>
      </w:r>
      <w:proofErr w:type="spellEnd"/>
      <w:r>
        <w:rPr>
          <w:sz w:val="28"/>
          <w:szCs w:val="28"/>
          <w:lang w:val="uk-UA"/>
        </w:rPr>
        <w:t xml:space="preserve"> взяти трубку телефону не пізніше третього – четвертого дзвінка.</w:t>
      </w:r>
    </w:p>
    <w:p w:rsidR="00597124" w:rsidRDefault="00597124" w:rsidP="00597124">
      <w:pPr>
        <w:pStyle w:val="a4"/>
        <w:jc w:val="both"/>
        <w:rPr>
          <w:sz w:val="28"/>
          <w:szCs w:val="28"/>
          <w:lang w:val="uk-UA"/>
        </w:rPr>
      </w:pPr>
    </w:p>
    <w:p w:rsidR="00A42048" w:rsidRDefault="00A42048" w:rsidP="00A42048">
      <w:pPr>
        <w:pStyle w:val="a4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 на телефонний дзвінок починається з привітання, представлення посадової особи та інформування, що телефонний дзвінок надійшов на адресу телефонної «гарячої лінії» Інспекції. Мова спілкування – українська.</w:t>
      </w:r>
    </w:p>
    <w:p w:rsidR="00597124" w:rsidRPr="00597124" w:rsidRDefault="00597124" w:rsidP="00597124">
      <w:pPr>
        <w:pStyle w:val="a4"/>
        <w:rPr>
          <w:sz w:val="28"/>
          <w:szCs w:val="28"/>
          <w:lang w:val="uk-UA"/>
        </w:rPr>
      </w:pPr>
    </w:p>
    <w:p w:rsidR="00A42048" w:rsidRDefault="00A42048" w:rsidP="00A42048">
      <w:pPr>
        <w:pStyle w:val="a4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Уважно вислухати повідомлення. Поставити уточнюючі запитання, якщо необхідно з</w:t>
      </w:r>
      <w:r w:rsidRPr="00A4204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ясувати більше обставин.</w:t>
      </w:r>
    </w:p>
    <w:p w:rsidR="00597124" w:rsidRDefault="00597124" w:rsidP="00597124">
      <w:pPr>
        <w:pStyle w:val="a4"/>
        <w:jc w:val="both"/>
        <w:rPr>
          <w:sz w:val="28"/>
          <w:szCs w:val="28"/>
          <w:lang w:val="uk-UA"/>
        </w:rPr>
      </w:pPr>
    </w:p>
    <w:p w:rsidR="0006143C" w:rsidRDefault="0006143C" w:rsidP="00A42048">
      <w:pPr>
        <w:pStyle w:val="a4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консультацію чи роз</w:t>
      </w:r>
      <w:r w:rsidRPr="0006143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яснення</w:t>
      </w:r>
      <w:proofErr w:type="spellEnd"/>
      <w:r>
        <w:rPr>
          <w:sz w:val="28"/>
          <w:szCs w:val="28"/>
          <w:lang w:val="uk-UA"/>
        </w:rPr>
        <w:t xml:space="preserve"> по телефону.</w:t>
      </w:r>
    </w:p>
    <w:p w:rsidR="00597124" w:rsidRDefault="00597124" w:rsidP="00597124">
      <w:pPr>
        <w:pStyle w:val="a4"/>
        <w:jc w:val="both"/>
        <w:rPr>
          <w:sz w:val="28"/>
          <w:szCs w:val="28"/>
          <w:lang w:val="uk-UA"/>
        </w:rPr>
      </w:pPr>
    </w:p>
    <w:p w:rsidR="0006143C" w:rsidRDefault="0006143C" w:rsidP="00A42048">
      <w:pPr>
        <w:pStyle w:val="a4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звернення на реєстрацію в разі необхідності додаткового вивчення питання та відповідь на яке не може бути надана безпосередньо по телефону.</w:t>
      </w:r>
    </w:p>
    <w:p w:rsidR="00597124" w:rsidRDefault="00597124" w:rsidP="00597124">
      <w:pPr>
        <w:pStyle w:val="a4"/>
        <w:jc w:val="both"/>
        <w:rPr>
          <w:sz w:val="28"/>
          <w:szCs w:val="28"/>
          <w:lang w:val="uk-UA"/>
        </w:rPr>
      </w:pPr>
    </w:p>
    <w:p w:rsidR="0006143C" w:rsidRDefault="0006143C" w:rsidP="00A42048">
      <w:pPr>
        <w:pStyle w:val="a4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Проінформувати заявника про те, що його звернення зареєстровано.</w:t>
      </w:r>
    </w:p>
    <w:p w:rsidR="00597124" w:rsidRDefault="00597124" w:rsidP="00597124">
      <w:pPr>
        <w:pStyle w:val="a4"/>
        <w:jc w:val="both"/>
        <w:rPr>
          <w:sz w:val="28"/>
          <w:szCs w:val="28"/>
          <w:lang w:val="uk-UA"/>
        </w:rPr>
      </w:pPr>
    </w:p>
    <w:p w:rsidR="00597124" w:rsidRDefault="0006143C" w:rsidP="00A42048">
      <w:pPr>
        <w:pStyle w:val="a4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Проінформувати </w:t>
      </w:r>
      <w:r w:rsidR="00597124">
        <w:rPr>
          <w:sz w:val="28"/>
          <w:szCs w:val="28"/>
          <w:lang w:val="uk-UA"/>
        </w:rPr>
        <w:t>про орієнтовний термін отримання відповіді.</w:t>
      </w:r>
    </w:p>
    <w:p w:rsidR="00597124" w:rsidRPr="00597124" w:rsidRDefault="00597124" w:rsidP="00597124">
      <w:pPr>
        <w:pStyle w:val="a4"/>
        <w:rPr>
          <w:sz w:val="28"/>
          <w:szCs w:val="28"/>
          <w:lang w:val="uk-UA"/>
        </w:rPr>
      </w:pPr>
    </w:p>
    <w:p w:rsidR="00597124" w:rsidRDefault="00597124" w:rsidP="00A42048">
      <w:pPr>
        <w:pStyle w:val="a4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Подякувати за телефонний </w:t>
      </w:r>
      <w:r w:rsidR="000614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дзвінок.</w:t>
      </w:r>
    </w:p>
    <w:p w:rsidR="00597124" w:rsidRDefault="00597124" w:rsidP="00597124">
      <w:pPr>
        <w:rPr>
          <w:lang w:val="uk-UA"/>
        </w:rPr>
      </w:pPr>
    </w:p>
    <w:p w:rsidR="007B51C2" w:rsidRDefault="007B51C2" w:rsidP="00597124">
      <w:pPr>
        <w:rPr>
          <w:lang w:val="uk-UA"/>
        </w:rPr>
      </w:pPr>
    </w:p>
    <w:p w:rsidR="007B51C2" w:rsidRPr="00597124" w:rsidRDefault="007B51C2" w:rsidP="00597124">
      <w:pPr>
        <w:rPr>
          <w:lang w:val="uk-UA"/>
        </w:rPr>
      </w:pPr>
    </w:p>
    <w:p w:rsidR="00597124" w:rsidRDefault="00367B82" w:rsidP="00597124">
      <w:pPr>
        <w:tabs>
          <w:tab w:val="left" w:pos="7485"/>
        </w:tabs>
        <w:rPr>
          <w:lang w:val="uk-UA"/>
        </w:rPr>
      </w:pPr>
      <w:r>
        <w:rPr>
          <w:lang w:val="uk-UA"/>
        </w:rPr>
        <w:t xml:space="preserve"> </w:t>
      </w:r>
      <w:r w:rsidR="00172AD8">
        <w:rPr>
          <w:lang w:val="uk-UA"/>
        </w:rPr>
        <w:t xml:space="preserve">                                                                                               </w:t>
      </w:r>
      <w:r>
        <w:rPr>
          <w:lang w:val="uk-UA"/>
        </w:rPr>
        <w:t xml:space="preserve"> </w:t>
      </w:r>
      <w:r w:rsidR="00172AD8">
        <w:rPr>
          <w:lang w:val="uk-UA"/>
        </w:rPr>
        <w:t xml:space="preserve"> </w:t>
      </w:r>
      <w:r w:rsidR="00597124">
        <w:rPr>
          <w:lang w:val="uk-UA"/>
        </w:rPr>
        <w:t>Додаток 1</w:t>
      </w:r>
    </w:p>
    <w:p w:rsidR="00597124" w:rsidRDefault="00597124" w:rsidP="00597124">
      <w:pPr>
        <w:tabs>
          <w:tab w:val="left" w:pos="7485"/>
        </w:tabs>
        <w:rPr>
          <w:lang w:val="uk-UA"/>
        </w:rPr>
      </w:pPr>
    </w:p>
    <w:p w:rsidR="00597124" w:rsidRDefault="00597124" w:rsidP="00597124">
      <w:pPr>
        <w:tabs>
          <w:tab w:val="left" w:pos="748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до Порядку роботи телефонної </w:t>
      </w:r>
    </w:p>
    <w:p w:rsidR="00597124" w:rsidRDefault="00597124" w:rsidP="00597124">
      <w:pPr>
        <w:tabs>
          <w:tab w:val="left" w:pos="748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«гарячої лінії» Державної                                </w:t>
      </w:r>
    </w:p>
    <w:p w:rsidR="00597124" w:rsidRDefault="00597124" w:rsidP="00597124">
      <w:pPr>
        <w:tabs>
          <w:tab w:val="left" w:pos="5871"/>
        </w:tabs>
        <w:rPr>
          <w:lang w:val="uk-UA"/>
        </w:rPr>
      </w:pPr>
      <w:r>
        <w:rPr>
          <w:lang w:val="uk-UA"/>
        </w:rPr>
        <w:tab/>
        <w:t>екологічної інспекції Поліського</w:t>
      </w:r>
    </w:p>
    <w:p w:rsidR="00597124" w:rsidRDefault="00597124" w:rsidP="00597124">
      <w:pPr>
        <w:tabs>
          <w:tab w:val="left" w:pos="5871"/>
        </w:tabs>
        <w:rPr>
          <w:lang w:val="uk-UA"/>
        </w:rPr>
      </w:pPr>
      <w:r>
        <w:rPr>
          <w:lang w:val="uk-UA"/>
        </w:rPr>
        <w:lastRenderedPageBreak/>
        <w:tab/>
        <w:t>округу</w:t>
      </w:r>
    </w:p>
    <w:p w:rsidR="00597124" w:rsidRPr="00597124" w:rsidRDefault="00597124" w:rsidP="00597124">
      <w:pPr>
        <w:rPr>
          <w:lang w:val="uk-UA"/>
        </w:rPr>
      </w:pPr>
    </w:p>
    <w:p w:rsidR="00597124" w:rsidRPr="00597124" w:rsidRDefault="00597124" w:rsidP="00597124">
      <w:pPr>
        <w:rPr>
          <w:lang w:val="uk-UA"/>
        </w:rPr>
      </w:pPr>
    </w:p>
    <w:p w:rsidR="00597124" w:rsidRPr="00597124" w:rsidRDefault="00597124" w:rsidP="00597124">
      <w:pPr>
        <w:rPr>
          <w:lang w:val="uk-UA"/>
        </w:rPr>
      </w:pPr>
    </w:p>
    <w:p w:rsidR="00597124" w:rsidRDefault="00597124" w:rsidP="00597124">
      <w:pPr>
        <w:rPr>
          <w:lang w:val="uk-UA"/>
        </w:rPr>
      </w:pPr>
    </w:p>
    <w:p w:rsidR="00597124" w:rsidRPr="00597124" w:rsidRDefault="00597124" w:rsidP="00597124">
      <w:pPr>
        <w:tabs>
          <w:tab w:val="left" w:pos="3624"/>
        </w:tabs>
        <w:jc w:val="center"/>
        <w:rPr>
          <w:b/>
          <w:sz w:val="28"/>
          <w:szCs w:val="28"/>
          <w:lang w:val="uk-UA"/>
        </w:rPr>
      </w:pPr>
      <w:r w:rsidRPr="00597124">
        <w:rPr>
          <w:b/>
          <w:sz w:val="28"/>
          <w:szCs w:val="28"/>
          <w:lang w:val="uk-UA"/>
        </w:rPr>
        <w:t>РЕЄСТРАЦІЙНА КАРТКА</w:t>
      </w:r>
    </w:p>
    <w:p w:rsidR="007B47BE" w:rsidRDefault="00597124" w:rsidP="00597124">
      <w:pPr>
        <w:tabs>
          <w:tab w:val="left" w:pos="3624"/>
        </w:tabs>
        <w:jc w:val="center"/>
        <w:rPr>
          <w:b/>
          <w:sz w:val="28"/>
          <w:szCs w:val="28"/>
          <w:lang w:val="uk-UA"/>
        </w:rPr>
      </w:pPr>
      <w:r w:rsidRPr="00597124">
        <w:rPr>
          <w:b/>
          <w:sz w:val="28"/>
          <w:szCs w:val="28"/>
          <w:lang w:val="uk-UA"/>
        </w:rPr>
        <w:t>Звернення на телефонну «гарячу лінію» Державної екологічної інспекції Поліського округу</w:t>
      </w:r>
    </w:p>
    <w:p w:rsidR="007B47BE" w:rsidRPr="007B47BE" w:rsidRDefault="007B47BE" w:rsidP="007B47BE">
      <w:pPr>
        <w:rPr>
          <w:sz w:val="28"/>
          <w:szCs w:val="28"/>
          <w:lang w:val="uk-UA"/>
        </w:rPr>
      </w:pPr>
    </w:p>
    <w:p w:rsidR="007B47BE" w:rsidRPr="007B47BE" w:rsidRDefault="007B47BE" w:rsidP="007B47BE">
      <w:pPr>
        <w:tabs>
          <w:tab w:val="left" w:pos="329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16"/>
        <w:gridCol w:w="1622"/>
        <w:gridCol w:w="1598"/>
        <w:gridCol w:w="3193"/>
      </w:tblGrid>
      <w:tr w:rsidR="007B47BE" w:rsidTr="007B47BE">
        <w:tc>
          <w:tcPr>
            <w:tcW w:w="3285" w:type="dxa"/>
          </w:tcPr>
          <w:p w:rsidR="007B47BE" w:rsidRDefault="007B47BE" w:rsidP="00172AD8">
            <w:pPr>
              <w:tabs>
                <w:tab w:val="left" w:pos="329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Кореспондент</w:t>
            </w:r>
          </w:p>
        </w:tc>
        <w:tc>
          <w:tcPr>
            <w:tcW w:w="3285" w:type="dxa"/>
            <w:gridSpan w:val="2"/>
          </w:tcPr>
          <w:p w:rsidR="007B47BE" w:rsidRDefault="007B47BE" w:rsidP="00172AD8">
            <w:pPr>
              <w:tabs>
                <w:tab w:val="left" w:pos="329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кореспондента</w:t>
            </w:r>
          </w:p>
        </w:tc>
        <w:tc>
          <w:tcPr>
            <w:tcW w:w="3285" w:type="dxa"/>
          </w:tcPr>
          <w:p w:rsidR="007B47BE" w:rsidRDefault="007B47BE" w:rsidP="00172AD8">
            <w:pPr>
              <w:tabs>
                <w:tab w:val="left" w:pos="329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Звернення</w:t>
            </w:r>
          </w:p>
        </w:tc>
      </w:tr>
      <w:tr w:rsidR="007B47BE" w:rsidTr="007B47BE">
        <w:tc>
          <w:tcPr>
            <w:tcW w:w="3285" w:type="dxa"/>
          </w:tcPr>
          <w:p w:rsidR="007B47BE" w:rsidRDefault="007B47BE" w:rsidP="00172AD8">
            <w:pPr>
              <w:tabs>
                <w:tab w:val="left" w:pos="329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B47BE" w:rsidRDefault="007B47BE" w:rsidP="00172AD8">
            <w:pPr>
              <w:tabs>
                <w:tab w:val="left" w:pos="329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gridSpan w:val="2"/>
          </w:tcPr>
          <w:p w:rsidR="007B47BE" w:rsidRDefault="007B47BE" w:rsidP="00172AD8">
            <w:pPr>
              <w:tabs>
                <w:tab w:val="left" w:pos="329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7B47BE" w:rsidRDefault="007B47BE" w:rsidP="00172AD8">
            <w:pPr>
              <w:tabs>
                <w:tab w:val="left" w:pos="329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7BE" w:rsidTr="005C5999">
        <w:trPr>
          <w:trHeight w:val="654"/>
        </w:trPr>
        <w:tc>
          <w:tcPr>
            <w:tcW w:w="4927" w:type="dxa"/>
            <w:gridSpan w:val="2"/>
          </w:tcPr>
          <w:p w:rsidR="007B47BE" w:rsidRDefault="007B47BE" w:rsidP="00172AD8">
            <w:pPr>
              <w:tabs>
                <w:tab w:val="left" w:pos="329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надходження кореспонденції</w:t>
            </w:r>
          </w:p>
        </w:tc>
        <w:tc>
          <w:tcPr>
            <w:tcW w:w="4928" w:type="dxa"/>
            <w:gridSpan w:val="2"/>
          </w:tcPr>
          <w:p w:rsidR="007B47BE" w:rsidRDefault="00172AD8" w:rsidP="00172AD8">
            <w:pPr>
              <w:tabs>
                <w:tab w:val="left" w:pos="329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Реєстраційний номер</w:t>
            </w:r>
          </w:p>
        </w:tc>
      </w:tr>
      <w:tr w:rsidR="00172AD8" w:rsidTr="005C5999">
        <w:trPr>
          <w:trHeight w:val="654"/>
        </w:trPr>
        <w:tc>
          <w:tcPr>
            <w:tcW w:w="4927" w:type="dxa"/>
            <w:gridSpan w:val="2"/>
          </w:tcPr>
          <w:p w:rsidR="00172AD8" w:rsidRDefault="00172AD8" w:rsidP="007B47BE">
            <w:pPr>
              <w:tabs>
                <w:tab w:val="left" w:pos="3291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  <w:gridSpan w:val="2"/>
          </w:tcPr>
          <w:p w:rsidR="00172AD8" w:rsidRDefault="00172AD8" w:rsidP="007B47BE">
            <w:pPr>
              <w:tabs>
                <w:tab w:val="left" w:pos="3291"/>
              </w:tabs>
              <w:rPr>
                <w:sz w:val="28"/>
                <w:szCs w:val="28"/>
                <w:lang w:val="uk-UA"/>
              </w:rPr>
            </w:pPr>
          </w:p>
          <w:p w:rsidR="00172AD8" w:rsidRDefault="00172AD8" w:rsidP="007B47BE">
            <w:pPr>
              <w:tabs>
                <w:tab w:val="left" w:pos="3291"/>
              </w:tabs>
              <w:rPr>
                <w:sz w:val="28"/>
                <w:szCs w:val="28"/>
                <w:lang w:val="uk-UA"/>
              </w:rPr>
            </w:pPr>
          </w:p>
          <w:p w:rsidR="00172AD8" w:rsidRDefault="00172AD8" w:rsidP="007B47BE">
            <w:pPr>
              <w:tabs>
                <w:tab w:val="left" w:pos="3291"/>
              </w:tabs>
              <w:rPr>
                <w:sz w:val="28"/>
                <w:szCs w:val="28"/>
                <w:lang w:val="uk-UA"/>
              </w:rPr>
            </w:pPr>
          </w:p>
        </w:tc>
      </w:tr>
      <w:tr w:rsidR="00172AD8" w:rsidTr="005C5999">
        <w:trPr>
          <w:trHeight w:val="654"/>
        </w:trPr>
        <w:tc>
          <w:tcPr>
            <w:tcW w:w="4927" w:type="dxa"/>
            <w:gridSpan w:val="2"/>
          </w:tcPr>
          <w:p w:rsidR="00172AD8" w:rsidRDefault="00172AD8" w:rsidP="00172AD8">
            <w:pPr>
              <w:tabs>
                <w:tab w:val="left" w:pos="329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72AD8" w:rsidRDefault="00172AD8" w:rsidP="00172AD8">
            <w:pPr>
              <w:tabs>
                <w:tab w:val="left" w:pos="329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Категорія заявника</w:t>
            </w:r>
          </w:p>
        </w:tc>
        <w:tc>
          <w:tcPr>
            <w:tcW w:w="4928" w:type="dxa"/>
            <w:gridSpan w:val="2"/>
          </w:tcPr>
          <w:p w:rsidR="00172AD8" w:rsidRDefault="00172AD8" w:rsidP="00172AD8">
            <w:pPr>
              <w:tabs>
                <w:tab w:val="left" w:pos="329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72AD8" w:rsidRDefault="00172AD8" w:rsidP="00172AD8">
            <w:pPr>
              <w:tabs>
                <w:tab w:val="left" w:pos="329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стан</w:t>
            </w:r>
          </w:p>
        </w:tc>
      </w:tr>
      <w:tr w:rsidR="00172AD8" w:rsidTr="005C5999">
        <w:trPr>
          <w:trHeight w:val="654"/>
        </w:trPr>
        <w:tc>
          <w:tcPr>
            <w:tcW w:w="4927" w:type="dxa"/>
            <w:gridSpan w:val="2"/>
          </w:tcPr>
          <w:p w:rsidR="00367B82" w:rsidRDefault="00367B82" w:rsidP="007B47BE">
            <w:pPr>
              <w:tabs>
                <w:tab w:val="left" w:pos="3291"/>
              </w:tabs>
              <w:rPr>
                <w:sz w:val="28"/>
                <w:szCs w:val="28"/>
                <w:lang w:val="uk-UA"/>
              </w:rPr>
            </w:pPr>
          </w:p>
          <w:p w:rsidR="00172AD8" w:rsidRPr="00367B82" w:rsidRDefault="00367B82" w:rsidP="00367B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28" w:type="dxa"/>
            <w:gridSpan w:val="2"/>
          </w:tcPr>
          <w:p w:rsidR="00172AD8" w:rsidRDefault="00172AD8" w:rsidP="007B47BE">
            <w:pPr>
              <w:tabs>
                <w:tab w:val="left" w:pos="3291"/>
              </w:tabs>
              <w:rPr>
                <w:sz w:val="28"/>
                <w:szCs w:val="28"/>
                <w:lang w:val="uk-UA"/>
              </w:rPr>
            </w:pPr>
          </w:p>
          <w:p w:rsidR="00172AD8" w:rsidRDefault="00367B82" w:rsidP="00367B82">
            <w:pPr>
              <w:tabs>
                <w:tab w:val="left" w:pos="329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172AD8" w:rsidRDefault="00172AD8" w:rsidP="007B47BE">
            <w:pPr>
              <w:tabs>
                <w:tab w:val="left" w:pos="3291"/>
              </w:tabs>
              <w:rPr>
                <w:sz w:val="28"/>
                <w:szCs w:val="28"/>
                <w:lang w:val="uk-UA"/>
              </w:rPr>
            </w:pPr>
          </w:p>
        </w:tc>
      </w:tr>
      <w:tr w:rsidR="00172AD8" w:rsidTr="00D6375E">
        <w:tc>
          <w:tcPr>
            <w:tcW w:w="9855" w:type="dxa"/>
            <w:gridSpan w:val="4"/>
          </w:tcPr>
          <w:p w:rsidR="00172AD8" w:rsidRDefault="00172AD8" w:rsidP="00172AD8">
            <w:pPr>
              <w:tabs>
                <w:tab w:val="left" w:pos="368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  <w:t>Проблемний регіон</w:t>
            </w:r>
          </w:p>
        </w:tc>
      </w:tr>
      <w:tr w:rsidR="00172AD8" w:rsidTr="00D6375E">
        <w:tc>
          <w:tcPr>
            <w:tcW w:w="9855" w:type="dxa"/>
            <w:gridSpan w:val="4"/>
          </w:tcPr>
          <w:p w:rsidR="00172AD8" w:rsidRDefault="00172AD8" w:rsidP="007B47BE">
            <w:pPr>
              <w:tabs>
                <w:tab w:val="left" w:pos="3291"/>
              </w:tabs>
              <w:rPr>
                <w:sz w:val="28"/>
                <w:szCs w:val="28"/>
                <w:lang w:val="uk-UA"/>
              </w:rPr>
            </w:pPr>
          </w:p>
          <w:p w:rsidR="00172AD8" w:rsidRDefault="00172AD8" w:rsidP="007B47BE">
            <w:pPr>
              <w:tabs>
                <w:tab w:val="left" w:pos="3291"/>
              </w:tabs>
              <w:rPr>
                <w:sz w:val="28"/>
                <w:szCs w:val="28"/>
                <w:lang w:val="uk-UA"/>
              </w:rPr>
            </w:pPr>
          </w:p>
        </w:tc>
      </w:tr>
      <w:tr w:rsidR="00172AD8" w:rsidTr="00D6375E">
        <w:tc>
          <w:tcPr>
            <w:tcW w:w="9855" w:type="dxa"/>
            <w:gridSpan w:val="4"/>
          </w:tcPr>
          <w:p w:rsidR="00172AD8" w:rsidRDefault="00172AD8" w:rsidP="00172AD8">
            <w:pPr>
              <w:tabs>
                <w:tab w:val="left" w:pos="329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Проблемне питання</w:t>
            </w:r>
          </w:p>
        </w:tc>
      </w:tr>
      <w:tr w:rsidR="00172AD8" w:rsidTr="00D6375E">
        <w:tc>
          <w:tcPr>
            <w:tcW w:w="9855" w:type="dxa"/>
            <w:gridSpan w:val="4"/>
          </w:tcPr>
          <w:p w:rsidR="00172AD8" w:rsidRDefault="00172AD8" w:rsidP="007B47BE">
            <w:pPr>
              <w:tabs>
                <w:tab w:val="left" w:pos="3291"/>
              </w:tabs>
              <w:rPr>
                <w:sz w:val="28"/>
                <w:szCs w:val="28"/>
                <w:lang w:val="uk-UA"/>
              </w:rPr>
            </w:pPr>
          </w:p>
          <w:p w:rsidR="00172AD8" w:rsidRDefault="00172AD8" w:rsidP="007B47BE">
            <w:pPr>
              <w:tabs>
                <w:tab w:val="left" w:pos="3291"/>
              </w:tabs>
              <w:rPr>
                <w:sz w:val="28"/>
                <w:szCs w:val="28"/>
                <w:lang w:val="uk-UA"/>
              </w:rPr>
            </w:pPr>
          </w:p>
        </w:tc>
      </w:tr>
      <w:tr w:rsidR="00172AD8" w:rsidTr="00D6375E">
        <w:tc>
          <w:tcPr>
            <w:tcW w:w="9855" w:type="dxa"/>
            <w:gridSpan w:val="4"/>
          </w:tcPr>
          <w:p w:rsidR="00172AD8" w:rsidRDefault="00172AD8" w:rsidP="00172AD8">
            <w:pPr>
              <w:tabs>
                <w:tab w:val="left" w:pos="329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Короткий зміст</w:t>
            </w:r>
          </w:p>
        </w:tc>
      </w:tr>
      <w:tr w:rsidR="00172AD8" w:rsidTr="00D6375E">
        <w:tc>
          <w:tcPr>
            <w:tcW w:w="9855" w:type="dxa"/>
            <w:gridSpan w:val="4"/>
          </w:tcPr>
          <w:p w:rsidR="00172AD8" w:rsidRDefault="00172AD8" w:rsidP="007B47BE">
            <w:pPr>
              <w:tabs>
                <w:tab w:val="left" w:pos="3291"/>
              </w:tabs>
              <w:rPr>
                <w:sz w:val="28"/>
                <w:szCs w:val="28"/>
                <w:lang w:val="uk-UA"/>
              </w:rPr>
            </w:pPr>
          </w:p>
          <w:p w:rsidR="00172AD8" w:rsidRDefault="00172AD8" w:rsidP="007B47BE">
            <w:pPr>
              <w:tabs>
                <w:tab w:val="left" w:pos="3291"/>
              </w:tabs>
              <w:rPr>
                <w:sz w:val="28"/>
                <w:szCs w:val="28"/>
                <w:lang w:val="uk-UA"/>
              </w:rPr>
            </w:pPr>
          </w:p>
          <w:p w:rsidR="00172AD8" w:rsidRDefault="00172AD8" w:rsidP="007B47BE">
            <w:pPr>
              <w:tabs>
                <w:tab w:val="left" w:pos="3291"/>
              </w:tabs>
              <w:rPr>
                <w:sz w:val="28"/>
                <w:szCs w:val="28"/>
                <w:lang w:val="uk-UA"/>
              </w:rPr>
            </w:pPr>
          </w:p>
          <w:p w:rsidR="00367B82" w:rsidRDefault="00367B82" w:rsidP="007B47BE">
            <w:pPr>
              <w:tabs>
                <w:tab w:val="left" w:pos="3291"/>
              </w:tabs>
              <w:rPr>
                <w:sz w:val="28"/>
                <w:szCs w:val="28"/>
                <w:lang w:val="uk-UA"/>
              </w:rPr>
            </w:pPr>
          </w:p>
          <w:p w:rsidR="00172AD8" w:rsidRDefault="00172AD8" w:rsidP="007B47BE">
            <w:pPr>
              <w:tabs>
                <w:tab w:val="left" w:pos="3291"/>
              </w:tabs>
              <w:rPr>
                <w:sz w:val="28"/>
                <w:szCs w:val="28"/>
                <w:lang w:val="uk-UA"/>
              </w:rPr>
            </w:pPr>
          </w:p>
          <w:p w:rsidR="00172AD8" w:rsidRDefault="00172AD8" w:rsidP="007B47BE">
            <w:pPr>
              <w:tabs>
                <w:tab w:val="left" w:pos="3291"/>
              </w:tabs>
              <w:rPr>
                <w:sz w:val="28"/>
                <w:szCs w:val="28"/>
                <w:lang w:val="uk-UA"/>
              </w:rPr>
            </w:pPr>
          </w:p>
        </w:tc>
      </w:tr>
      <w:tr w:rsidR="00172AD8" w:rsidTr="00DB2787">
        <w:tc>
          <w:tcPr>
            <w:tcW w:w="9855" w:type="dxa"/>
            <w:gridSpan w:val="4"/>
          </w:tcPr>
          <w:p w:rsidR="00172AD8" w:rsidRDefault="00172AD8" w:rsidP="007B47BE">
            <w:pPr>
              <w:tabs>
                <w:tab w:val="left" w:pos="329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виконання:</w:t>
            </w:r>
          </w:p>
        </w:tc>
      </w:tr>
    </w:tbl>
    <w:p w:rsidR="00597124" w:rsidRPr="007B47BE" w:rsidRDefault="00597124" w:rsidP="007B47BE">
      <w:pPr>
        <w:tabs>
          <w:tab w:val="left" w:pos="3291"/>
        </w:tabs>
        <w:rPr>
          <w:sz w:val="28"/>
          <w:szCs w:val="28"/>
          <w:lang w:val="uk-UA"/>
        </w:rPr>
      </w:pPr>
    </w:p>
    <w:sectPr w:rsidR="00597124" w:rsidRPr="007B47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832"/>
    <w:multiLevelType w:val="multilevel"/>
    <w:tmpl w:val="D97607FC"/>
    <w:lvl w:ilvl="0">
      <w:start w:val="1"/>
      <w:numFmt w:val="decimal"/>
      <w:lvlText w:val="%1."/>
      <w:lvlJc w:val="left"/>
      <w:pPr>
        <w:ind w:left="1" w:firstLine="425"/>
      </w:pPr>
      <w:rPr>
        <w:rFonts w:ascii="Times New Roman" w:eastAsia="Times New Roman" w:hAnsi="Times New Roman" w:cs="Times New Roman" w:hint="default"/>
        <w:b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158" w:firstLine="1080"/>
      </w:pPr>
    </w:lvl>
    <w:lvl w:ilvl="2">
      <w:start w:val="1"/>
      <w:numFmt w:val="lowerRoman"/>
      <w:lvlText w:val="%3."/>
      <w:lvlJc w:val="right"/>
      <w:pPr>
        <w:ind w:left="1878" w:firstLine="1980"/>
      </w:pPr>
    </w:lvl>
    <w:lvl w:ilvl="3">
      <w:start w:val="1"/>
      <w:numFmt w:val="decimal"/>
      <w:lvlText w:val="%4."/>
      <w:lvlJc w:val="left"/>
      <w:pPr>
        <w:ind w:left="2598" w:firstLine="2520"/>
      </w:pPr>
    </w:lvl>
    <w:lvl w:ilvl="4">
      <w:start w:val="1"/>
      <w:numFmt w:val="lowerLetter"/>
      <w:lvlText w:val="%5."/>
      <w:lvlJc w:val="left"/>
      <w:pPr>
        <w:ind w:left="3318" w:firstLine="3240"/>
      </w:pPr>
    </w:lvl>
    <w:lvl w:ilvl="5">
      <w:start w:val="1"/>
      <w:numFmt w:val="lowerRoman"/>
      <w:lvlText w:val="%6."/>
      <w:lvlJc w:val="right"/>
      <w:pPr>
        <w:ind w:left="4038" w:firstLine="4140"/>
      </w:pPr>
    </w:lvl>
    <w:lvl w:ilvl="6">
      <w:start w:val="1"/>
      <w:numFmt w:val="decimal"/>
      <w:lvlText w:val="%7."/>
      <w:lvlJc w:val="left"/>
      <w:pPr>
        <w:ind w:left="4758" w:firstLine="4680"/>
      </w:pPr>
    </w:lvl>
    <w:lvl w:ilvl="7">
      <w:start w:val="1"/>
      <w:numFmt w:val="lowerLetter"/>
      <w:lvlText w:val="%8."/>
      <w:lvlJc w:val="left"/>
      <w:pPr>
        <w:ind w:left="5478" w:firstLine="5400"/>
      </w:pPr>
    </w:lvl>
    <w:lvl w:ilvl="8">
      <w:start w:val="1"/>
      <w:numFmt w:val="lowerRoman"/>
      <w:lvlText w:val="%9."/>
      <w:lvlJc w:val="right"/>
      <w:pPr>
        <w:ind w:left="6198" w:firstLine="6300"/>
      </w:pPr>
    </w:lvl>
  </w:abstractNum>
  <w:abstractNum w:abstractNumId="1" w15:restartNumberingAfterBreak="0">
    <w:nsid w:val="17F369DB"/>
    <w:multiLevelType w:val="hybridMultilevel"/>
    <w:tmpl w:val="45CC05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0790"/>
    <w:multiLevelType w:val="hybridMultilevel"/>
    <w:tmpl w:val="CFA68A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67986"/>
    <w:multiLevelType w:val="hybridMultilevel"/>
    <w:tmpl w:val="17DA46EE"/>
    <w:lvl w:ilvl="0" w:tplc="F9C83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4A508B"/>
    <w:multiLevelType w:val="hybridMultilevel"/>
    <w:tmpl w:val="7472AE00"/>
    <w:lvl w:ilvl="0" w:tplc="8244DA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5DA2"/>
    <w:multiLevelType w:val="hybridMultilevel"/>
    <w:tmpl w:val="60CABD50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5BF74E9B"/>
    <w:multiLevelType w:val="hybridMultilevel"/>
    <w:tmpl w:val="0E0641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02BD0"/>
    <w:multiLevelType w:val="hybridMultilevel"/>
    <w:tmpl w:val="D6340A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503E0"/>
    <w:multiLevelType w:val="hybridMultilevel"/>
    <w:tmpl w:val="0C9289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A6"/>
    <w:rsid w:val="0006143C"/>
    <w:rsid w:val="00094BED"/>
    <w:rsid w:val="000B128D"/>
    <w:rsid w:val="00126288"/>
    <w:rsid w:val="00172AD8"/>
    <w:rsid w:val="002107BA"/>
    <w:rsid w:val="002C46EB"/>
    <w:rsid w:val="002D1C87"/>
    <w:rsid w:val="002E61D4"/>
    <w:rsid w:val="00345093"/>
    <w:rsid w:val="00367B82"/>
    <w:rsid w:val="003E7FA5"/>
    <w:rsid w:val="0044227E"/>
    <w:rsid w:val="004F6A76"/>
    <w:rsid w:val="00570055"/>
    <w:rsid w:val="00597124"/>
    <w:rsid w:val="005D69C1"/>
    <w:rsid w:val="007B47BE"/>
    <w:rsid w:val="007B51C2"/>
    <w:rsid w:val="00906F54"/>
    <w:rsid w:val="00A42048"/>
    <w:rsid w:val="00AD235C"/>
    <w:rsid w:val="00AF0509"/>
    <w:rsid w:val="00BB7CFC"/>
    <w:rsid w:val="00CE462B"/>
    <w:rsid w:val="00D119B6"/>
    <w:rsid w:val="00D12701"/>
    <w:rsid w:val="00D41675"/>
    <w:rsid w:val="00DD425E"/>
    <w:rsid w:val="00F06BA6"/>
    <w:rsid w:val="00F8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173F0-2D98-4710-9C21-8AD973D1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906F54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4BE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94BE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06F54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table" w:styleId="a5">
    <w:name w:val="Table Grid"/>
    <w:basedOn w:val="a1"/>
    <w:uiPriority w:val="59"/>
    <w:rsid w:val="007B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5422</Words>
  <Characters>3092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2021-05-07T07:17:00Z</dcterms:created>
  <dcterms:modified xsi:type="dcterms:W3CDTF">2021-05-07T07:17:00Z</dcterms:modified>
</cp:coreProperties>
</file>