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52780E">
      <w:pPr>
        <w:pStyle w:val="a4"/>
        <w:spacing w:before="0"/>
        <w:jc w:val="left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FB724C" w:rsidRPr="0025101E" w:rsidRDefault="0057098B" w:rsidP="00FB724C">
      <w:pPr>
        <w:pStyle w:val="a4"/>
        <w:spacing w:before="0"/>
        <w:rPr>
          <w:rFonts w:ascii="Times New Roman" w:hAnsi="Times New Roman"/>
          <w:sz w:val="28"/>
          <w:szCs w:val="28"/>
        </w:rPr>
      </w:pPr>
      <w:r w:rsidRPr="0057098B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Перелік</w:t>
      </w:r>
      <w:r w:rsidR="003E0B0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7D0C85" w:rsidRPr="0057098B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питань</w:t>
      </w:r>
      <w:r w:rsidR="007D0C8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3E0B0F">
        <w:rPr>
          <w:rFonts w:ascii="Times New Roman" w:hAnsi="Times New Roman"/>
          <w:bCs/>
          <w:color w:val="000000"/>
          <w:sz w:val="28"/>
          <w:szCs w:val="28"/>
          <w:lang w:eastAsia="uk-UA"/>
        </w:rPr>
        <w:t>№1</w:t>
      </w:r>
      <w:r w:rsidRPr="0057098B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57098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для проведення заходів державного нагляду (контролю) </w:t>
      </w:r>
      <w:r w:rsidR="0025101E" w:rsidRPr="0025101E">
        <w:rPr>
          <w:rFonts w:ascii="Times New Roman" w:hAnsi="Times New Roman"/>
          <w:sz w:val="28"/>
          <w:szCs w:val="28"/>
        </w:rPr>
        <w:t>за додержанням вимог законодавства про охорону атмосферного повітря</w:t>
      </w:r>
    </w:p>
    <w:p w:rsidR="00FB724C" w:rsidRPr="003D2DA8" w:rsidRDefault="00FB724C" w:rsidP="0049350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XSpec="center" w:tblpY="-6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562"/>
        <w:gridCol w:w="2835"/>
        <w:gridCol w:w="1843"/>
        <w:gridCol w:w="1559"/>
        <w:gridCol w:w="1276"/>
        <w:gridCol w:w="709"/>
        <w:gridCol w:w="1559"/>
        <w:gridCol w:w="1276"/>
        <w:gridCol w:w="850"/>
        <w:gridCol w:w="2835"/>
        <w:gridCol w:w="567"/>
      </w:tblGrid>
      <w:tr w:rsidR="00A05CFF" w:rsidRPr="003D2DA8" w:rsidTr="00A05CFF">
        <w:trPr>
          <w:trHeight w:val="907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05CFF" w:rsidRPr="003D2DA8" w:rsidRDefault="00A05CFF" w:rsidP="00E02D6F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Порядковий номер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Назва об’єкта, на який спрямована вимога законодавства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bookmarkStart w:id="0" w:name="_Hlk500634785"/>
            <w:r w:rsidRPr="003D2DA8">
              <w:rPr>
                <w:rFonts w:ascii="Times New Roman" w:hAnsi="Times New Roman" w:cs="Times New Roman"/>
                <w:b/>
                <w:lang w:val="uk-UA"/>
              </w:rPr>
              <w:t>Код цілі державного нагляду (контролю)</w:t>
            </w:r>
            <w:bookmarkEnd w:id="0"/>
          </w:p>
        </w:tc>
        <w:tc>
          <w:tcPr>
            <w:tcW w:w="2835" w:type="dxa"/>
            <w:gridSpan w:val="2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Hlk500634798"/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Ризик </w:t>
            </w:r>
            <w:bookmarkStart w:id="2" w:name="_Hlk500971417"/>
            <w:bookmarkEnd w:id="1"/>
            <w:r w:rsidRPr="003D2DA8">
              <w:rPr>
                <w:rFonts w:ascii="Times New Roman" w:hAnsi="Times New Roman" w:cs="Times New Roman"/>
                <w:b/>
                <w:lang w:val="uk-UA"/>
              </w:rPr>
              <w:t>настання негативних наслідків від провадження господарської діяльності</w:t>
            </w:r>
            <w:bookmarkEnd w:id="2"/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Ймовірність настання </w:t>
            </w:r>
            <w:proofErr w:type="spellStart"/>
            <w:r w:rsidRPr="003D2DA8">
              <w:rPr>
                <w:rFonts w:ascii="Times New Roman" w:hAnsi="Times New Roman" w:cs="Times New Roman"/>
                <w:b/>
                <w:lang w:val="uk-UA"/>
              </w:rPr>
              <w:t>негатив-них</w:t>
            </w:r>
            <w:proofErr w:type="spellEnd"/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 наслідків (від 1 до 4 балів, де 4 </w:t>
            </w:r>
            <w:proofErr w:type="spellStart"/>
            <w:r w:rsidRPr="003D2DA8">
              <w:rPr>
                <w:rFonts w:ascii="Times New Roman" w:hAnsi="Times New Roman" w:cs="Times New Roman"/>
                <w:b/>
                <w:lang w:val="uk-UA"/>
              </w:rPr>
              <w:t>—найвищий</w:t>
            </w:r>
            <w:proofErr w:type="spellEnd"/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 рівень ймовірності)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05CFF" w:rsidRPr="003D2DA8" w:rsidRDefault="00A05CFF" w:rsidP="00E02D6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A05CFF" w:rsidRPr="003D2DA8" w:rsidTr="00A05CFF">
        <w:trPr>
          <w:cantSplit/>
          <w:trHeight w:val="306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негативний наслідок</w:t>
            </w:r>
          </w:p>
        </w:tc>
        <w:tc>
          <w:tcPr>
            <w:tcW w:w="850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53160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F23C53" w:rsidRPr="00B84E52" w:rsidRDefault="00F23C53" w:rsidP="00AB6F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Викиди забруднюючих    речовин в атмосферне   повітря стаціонарними   джерелами можуть  здійснюватися після  отримання дозволу,  виданого суб'єкту господарювання, об'єкт якого належить до другої    або третьої групи,</w:t>
            </w:r>
            <w:r w:rsidR="00C61144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обласними, Київською, </w:t>
            </w:r>
            <w:r w:rsidR="00C61144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Севастопольською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міськими державними  адміністраціями, органом виконавчої влади  Автономної Республіки  Крим з питань охорони навколишнього природного середовища за погодженням з центральним органом  виконавчої влади, що реалізує державну політику у сфері</w:t>
            </w:r>
            <w:r w:rsidR="0076447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санітарного та епідемічного благополуччя населення.</w:t>
            </w:r>
          </w:p>
          <w:p w:rsidR="00253160" w:rsidRPr="00B84E52" w:rsidRDefault="00F23C53" w:rsidP="0089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o102"/>
            <w:bookmarkStart w:id="4" w:name="o103"/>
            <w:bookmarkEnd w:id="3"/>
            <w:bookmarkEnd w:id="4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Викиди забруднюючих речовин в атмосферне   повітря стаціонарними  джерелами можуть здійснюватися на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підставі дозволу, виданого суб'єкту господарювання, об'єкт якого належить до першої</w:t>
            </w:r>
            <w:r w:rsidR="00A25CDB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групи, суб’єкту</w:t>
            </w:r>
            <w:r w:rsidR="00A25CDB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господарювання, об’єкт  якого  знаходиться  на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території зони   відчуження, зони  безумовного (обов’язкового) відселення території, що  зазнала радіоактивного  забруднення внаслідок    Чорнобильської катастрофи, центральним   органом виконавчої  влади, що реалізує державну політику у сфері охорони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навколишнього природного середовища, за погодженням з центральним органом  виконавчої влади, що реалізує державну політику у сфері санітарного та епідемічного благополуччя населення.</w:t>
            </w:r>
          </w:p>
        </w:tc>
        <w:tc>
          <w:tcPr>
            <w:tcW w:w="1843" w:type="dxa"/>
            <w:shd w:val="clear" w:color="auto" w:fill="auto"/>
          </w:tcPr>
          <w:p w:rsidR="00253160" w:rsidRPr="00A05CFF" w:rsidRDefault="00253160" w:rsidP="00AB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п’ята</w:t>
            </w:r>
            <w:proofErr w:type="spellEnd"/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шоста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</w:p>
          <w:p w:rsidR="00253160" w:rsidRPr="00A05CFF" w:rsidRDefault="00253160" w:rsidP="00AB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ЗУ № 2707</w:t>
            </w:r>
          </w:p>
          <w:p w:rsidR="00253160" w:rsidRPr="00A05CFF" w:rsidRDefault="0092568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8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pict>
                <v:line id="Прямая соединительная линия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3pt,276.75pt" to="659.9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" strokecolor="windowText" strokeweight=".5pt">
                  <v:stroke joinstyle="miter"/>
                </v:line>
              </w:pict>
            </w:r>
          </w:p>
        </w:tc>
        <w:tc>
          <w:tcPr>
            <w:tcW w:w="1559" w:type="dxa"/>
            <w:shd w:val="clear" w:color="auto" w:fill="auto"/>
          </w:tcPr>
          <w:p w:rsidR="00253160" w:rsidRPr="00A05CFF" w:rsidRDefault="00EA5B87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 та установи </w:t>
            </w:r>
            <w:r w:rsidR="00FC1C8C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здійснюють викиди в атмосферне повітря</w:t>
            </w:r>
            <w:r w:rsidR="00753554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814713" w:rsidRPr="00A05CFF" w:rsidRDefault="00FC1C8C" w:rsidP="00AB6FA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253160" w:rsidRPr="00A05CFF" w:rsidRDefault="0028066E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06339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3160" w:rsidRPr="00A05CFF" w:rsidRDefault="002674A8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  <w:p w:rsidR="002674A8" w:rsidRPr="00A05CFF" w:rsidRDefault="002674A8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пилогазоочисного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порушенням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природоохоронного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74A8" w:rsidRPr="00A05CFF" w:rsidRDefault="002674A8" w:rsidP="00AB6FA7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05CFF">
              <w:rPr>
                <w:rFonts w:ascii="Times New Roman" w:hAnsi="Times New Roman"/>
                <w:sz w:val="24"/>
                <w:szCs w:val="24"/>
              </w:rPr>
              <w:t>забруднення атмосферного повітря</w:t>
            </w:r>
          </w:p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53160" w:rsidRPr="00A05CFF" w:rsidRDefault="00287A79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Викиди забруднюючих речовин в атмосферне повітря стаціонарними джерелами здійснюються на підставі дозволу, виданого суб'єкту господарювання, об'єкт якого належить:</w:t>
            </w: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першої групи</w:t>
            </w: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другої групи</w:t>
            </w: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160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третьої групи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Підприємства, установи,  організації та громадяни -  суб'єкти підприємницької діяльності, що  здійснюють викиди  забруднюючих речовин в  атмосферне  повітря  та  діяльність яких  пов'язана  з впливом фізичних та   біологічних факторів на  його стан, зобов'язані: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FC1C8C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Підприємствами, установами, організаціями та громадянами -  суб'єктами підприємницької діяльності, що здійснюють викиди забруднюючих речовин в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атмосферне повітря: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</w:tcPr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</w:tcPr>
          <w:p w:rsidR="00FC1C8C" w:rsidRPr="00B84E52" w:rsidRDefault="00FC1C8C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5" w:name="o83"/>
            <w:bookmarkEnd w:id="5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 організаційно-господарські, технічні та  інші заходи щодо забезпечення виконання вимог, передбачених стандартами та  нормативами екологічної безпеки у галузі охорони атмосферного повітря, дозволами на викиди забруднюючих речовин тощо;</w:t>
            </w:r>
          </w:p>
          <w:p w:rsidR="00FC1C8C" w:rsidRPr="00B84E52" w:rsidRDefault="00FC1C8C" w:rsidP="00FC1C8C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8C" w:rsidRPr="00A05CFF" w:rsidRDefault="00FC1C8C" w:rsidP="00F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10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вимоги</w:t>
            </w:r>
            <w:proofErr w:type="spellEnd"/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дозволами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виконуються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AD" w:rsidRPr="00A05CFF" w:rsidTr="00A05CFF">
        <w:trPr>
          <w:trHeight w:val="1304"/>
        </w:trPr>
        <w:tc>
          <w:tcPr>
            <w:tcW w:w="562" w:type="dxa"/>
          </w:tcPr>
          <w:p w:rsidR="002A73AD" w:rsidRPr="00272377" w:rsidRDefault="00272377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2835" w:type="dxa"/>
          </w:tcPr>
          <w:p w:rsidR="002A73AD" w:rsidRPr="00B84E52" w:rsidRDefault="00F8799D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27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здійснювати контроль за проектуванням, будівництвом і експлуатацією споруд, устаткування та апаратури для очищення </w:t>
            </w:r>
            <w:r w:rsidRPr="00527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газопилового потоку від забруднюючих речовин і зниження впливу фізичних та біологічних факторів, оснащення їх засобами вимірювальної техніки, необхідними для постійного контролю за ефективністю очищення, дотриманням нормативів гранично допустимих викидів забруднюючих речовин і рівнів впливу фізичних та біологічних факторів та інших вимог законодавства в галузі охорони атмосферного повітря</w:t>
            </w:r>
          </w:p>
        </w:tc>
        <w:tc>
          <w:tcPr>
            <w:tcW w:w="1843" w:type="dxa"/>
            <w:shd w:val="clear" w:color="auto" w:fill="auto"/>
          </w:tcPr>
          <w:p w:rsidR="002A73AD" w:rsidRPr="00A05CFF" w:rsidRDefault="00F8799D" w:rsidP="008A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Абзац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десятий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 ЗУ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2707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 2 Порядку, </w:t>
            </w:r>
            <w:proofErr w:type="spellStart"/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затвердженого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ПКМУ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1780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Мінприроди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309</w:t>
            </w:r>
          </w:p>
        </w:tc>
        <w:tc>
          <w:tcPr>
            <w:tcW w:w="1559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A73AD" w:rsidRPr="00A05CFF" w:rsidRDefault="00185F60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A73AD" w:rsidRPr="00A05CFF" w:rsidRDefault="00185F60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2A73AD" w:rsidRPr="002A73AD" w:rsidRDefault="002A73AD" w:rsidP="00F10A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вимоги, передбачені дозволами на викиди забруднюючих речовин, виконуються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A73AD" w:rsidRPr="00A05CFF" w:rsidRDefault="002A73AD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272377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вживати заходів щодо зменшення обсягів  викидів  забруднюючих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речовин і зменшення впливу фізичних факторів; </w:t>
            </w:r>
          </w:p>
          <w:p w:rsidR="00FC1C8C" w:rsidRPr="00B84E52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третій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зазда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легідь розробляти   спеціальні заходи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щодо   охорони атмосферного  повітря на випадок виникнення надзвичайних ситуаці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й 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техногенного та  природного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характеру і  вживати заходів для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ліквідації причин, наслідків забруднення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шостий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спеціальні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атмосферного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випадок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та </w:t>
            </w:r>
            <w:r w:rsidR="00185F60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характеру </w:t>
            </w:r>
            <w:proofErr w:type="spellStart"/>
            <w:r w:rsidR="00185F60">
              <w:rPr>
                <w:rFonts w:ascii="Times New Roman" w:hAnsi="Times New Roman" w:cs="Times New Roman"/>
                <w:sz w:val="24"/>
                <w:szCs w:val="24"/>
              </w:rPr>
              <w:t>розроблено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заздалегідь розробляти   спеціальні заходи щодо   охорони атмосферного  повітря на випадок виникнення надзвичайних ситуацій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техногенного та  природного  характеру і  вживати заходів для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ліквідації причин, наслідків забруднення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шостий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                                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заходи для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причин,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наслідків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атмосферного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7D0C85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забезпечувати здійснення інструментально-лабораторних вимірювань параметрів викидів забруднюючих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речовин стаціонарних і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пересувних джерел та ефективності роботи газоочисних установок; </w:t>
            </w:r>
          </w:p>
          <w:p w:rsidR="00A05CFF" w:rsidRPr="00B84E52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сьомий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</w:t>
            </w:r>
            <w:r w:rsidR="002723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23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Виробничий контроль за охороною атмосферного повітря в процесі господарської та іншої діяльності здійснюється інструментально-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лабораторними вимірюваннями параметрів викидів забруднюючих речовин: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52780E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52780E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стаціонарних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газоочисних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327F1D" w:rsidP="0032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дійснювати контроль   за проектуванням,   будівництвом і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експлуатацією споруд,  устаткування та  апаратури для очищення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газопилового потоку від забруднюючих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речовин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  зниження впливу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фізичних та біологічних   факторів, оснащення їх  засобами вимірювальної техніки, необхідними 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для постійного  контролю  за ефективністю очищення, дотриманням нормативів гранично допустимих викидів  забруднюючих речовин і  рівнів впливу фізичних   та біологічних факторів та інших вимог законодавства в галузі охорони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експлуатацією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апаратури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газопилового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потоку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7D0C85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327F1D" w:rsidP="0032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дійснювати контроль   за проектуванням,   будівництвом і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експлуатацією споруд,  устаткування та  апаратури для очищення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газопилового потоку від забруднюючих речовин і  зниження впливу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фізичних та біологічних   факторів, оснащення їх  засобами вимірювальної техніки, необхідними  для постійного  контролю  за ефективністю очищення, дотриманням нормативів гранично допустимих викидів  забруднюючих речовин і  рівнів впливу фізичних   та біологічних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факторів та інших вимог законодавства в галузі охорони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Оснащення споруд, устаткування та апаратури для очищення газопилового потоку від забруднюючих речовин засобами вимірювальної техніки, необхідними для постійного контролю за ефективністю очищення, здійснюється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272377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Призначити осіб, відповідальних за:</w:t>
            </w:r>
          </w:p>
          <w:p w:rsidR="00A05CFF" w:rsidRPr="00B84E52" w:rsidRDefault="00A05CFF" w:rsidP="00185F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o47"/>
            <w:bookmarkEnd w:id="6"/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призначено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відповідальних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6.1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технічний стан, обслуговування і безпечну експлуатацію </w:t>
            </w:r>
            <w:proofErr w:type="spellStart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ГОУ</w:t>
            </w:r>
            <w:proofErr w:type="spellEnd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8B7EFA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Абзац </w:t>
            </w:r>
            <w:proofErr w:type="spellStart"/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другий</w:t>
            </w:r>
            <w:proofErr w:type="spellEnd"/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ідпунк</w:t>
            </w:r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</w:t>
            </w:r>
            <w:proofErr w:type="spellEnd"/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2.2.2 пункту 2.2 </w:t>
            </w:r>
            <w:proofErr w:type="spellStart"/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ІІ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</w:t>
            </w:r>
            <w:r w:rsidRP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стан,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безпечну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експлуатацію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6.2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належне розташування та обладнання місць відбору проб та вимірювання параметрів газопилового потоку згідно з вимогами чинного законодавства;</w:t>
            </w:r>
          </w:p>
          <w:p w:rsidR="00A05CFF" w:rsidRPr="00B84E52" w:rsidRDefault="00A05CFF" w:rsidP="00E2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 п’ятий  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ідпункту 2.2.2  пункту 2.2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розділу ІІ 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проб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параметрів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газопилового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потоку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6.3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технічний стан, обслуговування і безпечну експлуатацію </w:t>
            </w:r>
            <w:proofErr w:type="spellStart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ГОУ</w:t>
            </w:r>
            <w:proofErr w:type="spellEnd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 сьомий 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ідпункту 2.2.2  пункту 2.2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розділу ІІ 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журналу </w:t>
            </w: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часу установок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D5488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Проводити не менше одного разу на три роки технічне навчання і перевірку знань інженерно-технічного персоналу та не менше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одного разу на рік обслуговуючого персоналу, залученого до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експлуатації  </w:t>
            </w:r>
            <w:proofErr w:type="spellStart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ГОУ</w:t>
            </w:r>
            <w:proofErr w:type="spellEnd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Результати перевірки знань оформлюються протоколом засідання комісії з перевірки знань з правил технічної експлуатації установок очистки газу, зразок якого наведено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у додатку 2.</w:t>
            </w:r>
          </w:p>
          <w:p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Підпункт 2.2.4  пункту 2.2 </w:t>
            </w:r>
          </w:p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розділу ІІ  </w:t>
            </w:r>
          </w:p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ірка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очистки газу: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інженерно-технічного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не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разу на три роки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5488" w:rsidRPr="00B84E52" w:rsidRDefault="00DD5488" w:rsidP="00DD54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залученого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очистки газу, не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разу на </w:t>
            </w: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основі цих Правил, рекомендацій проектних організацій та відповідної документації, яка додається до </w:t>
            </w:r>
            <w:proofErr w:type="spellStart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ГОУ</w:t>
            </w:r>
            <w:proofErr w:type="spellEnd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що експлуатується </w:t>
            </w:r>
            <w:r w:rsidR="007E4E21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суб'єктом  господарювання,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розробити і затвердити інструкцію з експлуатації </w:t>
            </w:r>
            <w:proofErr w:type="spellStart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ГОУ</w:t>
            </w:r>
            <w:proofErr w:type="spellEnd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відповідно до умов їх роботи.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Підпункт 2.2.3  пункту 2.2 розділу ІІ 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Правил, затверджених наказом 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F10A5B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 і затверджено</w:t>
            </w:r>
            <w:r w:rsidR="00F10A5B" w:rsidRPr="00F10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інструкцію з експлуатації очистки газу відповідно до умов їх роботи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F10A5B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Розробити паспорт на кожну </w:t>
            </w:r>
            <w:proofErr w:type="spellStart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ГОУ</w:t>
            </w:r>
            <w:proofErr w:type="spellEnd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зразок якого наведено у додатку 3 до цих Правил.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ідпункт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2.2.5  пункту 2.2 </w:t>
            </w:r>
          </w:p>
          <w:p w:rsidR="00A05CFF" w:rsidRPr="00A05CFF" w:rsidRDefault="00017E20" w:rsidP="0001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ІІ 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Правил,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F1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Розроблено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на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017E20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результатами огляду складати акт перевірки </w:t>
            </w:r>
            <w:r w:rsidR="00017E20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технічного </w:t>
            </w:r>
            <w:r w:rsidR="00393401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стану установки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очистки  газу на джерелі викиду (утворення), зразок якого наведено у додатку 5.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разі виявлення недоліків розробляти заходи щодо їх усунення. Оригінал акта додається до паспорта установки.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9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9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ідпункт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2.2.10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пункту 2.2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складаються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ірок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стану установок очистки газу на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207B0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02554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Державному обліку в галузі охорони атмосферного  повітря підлягають: </w:t>
            </w:r>
            <w:bookmarkStart w:id="7" w:name="o201"/>
            <w:bookmarkEnd w:id="7"/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об'єкти, які справляють або можуть справити шкідливий вплив на здоров'я людей та на стан атмосферного повітря;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8" w:name="o202"/>
            <w:bookmarkEnd w:id="8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види та обсяги забруднюючих речовин, що викидаються в атмосферне повітря;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9" w:name="o203"/>
            <w:bookmarkEnd w:id="9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види і ступені впливу фізичних та біологічних факторів на стан атмосферного повітря.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перша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2707;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пункт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Порядку,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затвердженогоПКМУ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1655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C02554" w:rsidP="00C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справляє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справити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шкідливий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стан атмосферного </w:t>
            </w:r>
            <w:proofErr w:type="spellStart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3485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9F3485" w:rsidRDefault="00263B0A" w:rsidP="009F3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9F3485" w:rsidRPr="009F3485" w:rsidRDefault="009F3485" w:rsidP="009F3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F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підставі зазначеної документації складається  державна статистична звітність, яка в установленому порядку надається територіальним органам </w:t>
            </w:r>
            <w:proofErr w:type="spellStart"/>
            <w:r w:rsidRPr="009F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Держстату</w:t>
            </w:r>
            <w:proofErr w:type="spellEnd"/>
            <w:r w:rsidRPr="009F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місцезнаходженням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стаціонарного  джерела викиду</w:t>
            </w:r>
          </w:p>
          <w:p w:rsidR="009F3485" w:rsidRPr="00B84E52" w:rsidRDefault="009F3485" w:rsidP="009F3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F3485" w:rsidRPr="00A05CFF" w:rsidRDefault="009F3485" w:rsidP="0027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Абзац </w:t>
            </w:r>
            <w:proofErr w:type="spellStart"/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пункту 5 Порядку, </w:t>
            </w:r>
            <w:proofErr w:type="spellStart"/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затвердженого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ПКМУ </w:t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1655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пункт 1 наказу </w:t>
            </w:r>
            <w:proofErr w:type="spellStart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Держстату</w:t>
            </w:r>
            <w:proofErr w:type="spellEnd"/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124</w:t>
            </w:r>
          </w:p>
        </w:tc>
        <w:tc>
          <w:tcPr>
            <w:tcW w:w="1559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F3485" w:rsidRPr="009F3485" w:rsidRDefault="009F3485" w:rsidP="009F3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Державну статистичну звітність за встановленою формою подано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485" w:rsidRPr="00A05CFF" w:rsidRDefault="009F3485" w:rsidP="009F34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207B0" w:rsidRDefault="002207B0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2207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кожного типу пересувних джерел, що експлуатуються на території України, встановлюються нормативи вмісту забруднюючих речовин у відпрацьованих газах та впливу фізичних факторів цих джерел, які розробляються з урахуванням сучасних технічних рішень щодо  зменшення  утворення  забруднюючих речовин,  зниження рівнів впливу фізичних факторів, очищення відпрацьованих</w:t>
            </w:r>
            <w:bookmarkStart w:id="10" w:name="_GoBack"/>
            <w:bookmarkEnd w:id="10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</w:t>
            </w:r>
            <w:r w:rsidR="002207B0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азів та економічної доцільності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9,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друга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установи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пересувні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Нормативи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вмісту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відпрацьованих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газах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пересувних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дотримуються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E1854" w:rsidRPr="003D2DA8" w:rsidRDefault="003E1854">
      <w:pPr>
        <w:rPr>
          <w:rFonts w:ascii="Times New Roman" w:hAnsi="Times New Roman" w:cs="Times New Roman"/>
        </w:rPr>
      </w:pPr>
    </w:p>
    <w:sectPr w:rsidR="003E1854" w:rsidRPr="003D2DA8" w:rsidSect="00CB4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C3" w:rsidRDefault="00A94BC3" w:rsidP="00FB724C">
      <w:pPr>
        <w:spacing w:after="0" w:line="240" w:lineRule="auto"/>
      </w:pPr>
      <w:r>
        <w:separator/>
      </w:r>
    </w:p>
  </w:endnote>
  <w:endnote w:type="continuationSeparator" w:id="0">
    <w:p w:rsidR="00A94BC3" w:rsidRDefault="00A94BC3" w:rsidP="00FB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C3" w:rsidRDefault="00A94BC3" w:rsidP="00FB724C">
      <w:pPr>
        <w:spacing w:after="0" w:line="240" w:lineRule="auto"/>
      </w:pPr>
      <w:r>
        <w:separator/>
      </w:r>
    </w:p>
  </w:footnote>
  <w:footnote w:type="continuationSeparator" w:id="0">
    <w:p w:rsidR="00A94BC3" w:rsidRDefault="00A94BC3" w:rsidP="00FB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24C"/>
    <w:rsid w:val="00017E20"/>
    <w:rsid w:val="00084F2A"/>
    <w:rsid w:val="001009CA"/>
    <w:rsid w:val="00110025"/>
    <w:rsid w:val="00127D60"/>
    <w:rsid w:val="0013511B"/>
    <w:rsid w:val="0017406E"/>
    <w:rsid w:val="00185F60"/>
    <w:rsid w:val="001B03C7"/>
    <w:rsid w:val="002207B0"/>
    <w:rsid w:val="0025101E"/>
    <w:rsid w:val="00253160"/>
    <w:rsid w:val="00263B0A"/>
    <w:rsid w:val="002674A8"/>
    <w:rsid w:val="00272377"/>
    <w:rsid w:val="0028066E"/>
    <w:rsid w:val="00287A79"/>
    <w:rsid w:val="002A73AD"/>
    <w:rsid w:val="002D7225"/>
    <w:rsid w:val="002E4190"/>
    <w:rsid w:val="00306339"/>
    <w:rsid w:val="00327F1D"/>
    <w:rsid w:val="00365E89"/>
    <w:rsid w:val="00393401"/>
    <w:rsid w:val="003B6A52"/>
    <w:rsid w:val="003C6A2F"/>
    <w:rsid w:val="003D2DA8"/>
    <w:rsid w:val="003E0B0F"/>
    <w:rsid w:val="003E1854"/>
    <w:rsid w:val="00421A9F"/>
    <w:rsid w:val="0049350A"/>
    <w:rsid w:val="004B57A2"/>
    <w:rsid w:val="0052780E"/>
    <w:rsid w:val="0054223A"/>
    <w:rsid w:val="0057098B"/>
    <w:rsid w:val="00593C78"/>
    <w:rsid w:val="00631440"/>
    <w:rsid w:val="00736B66"/>
    <w:rsid w:val="00753554"/>
    <w:rsid w:val="0076447F"/>
    <w:rsid w:val="00790639"/>
    <w:rsid w:val="007979D8"/>
    <w:rsid w:val="007D0C85"/>
    <w:rsid w:val="007D2B35"/>
    <w:rsid w:val="007E4E21"/>
    <w:rsid w:val="00814713"/>
    <w:rsid w:val="00872D35"/>
    <w:rsid w:val="0089138D"/>
    <w:rsid w:val="00892AE4"/>
    <w:rsid w:val="008A51EE"/>
    <w:rsid w:val="008B7EFA"/>
    <w:rsid w:val="008C2538"/>
    <w:rsid w:val="008E01DA"/>
    <w:rsid w:val="009173B7"/>
    <w:rsid w:val="00922D92"/>
    <w:rsid w:val="0092568F"/>
    <w:rsid w:val="0092760F"/>
    <w:rsid w:val="0095115D"/>
    <w:rsid w:val="00972E4D"/>
    <w:rsid w:val="009B252E"/>
    <w:rsid w:val="009F3485"/>
    <w:rsid w:val="00A05CFF"/>
    <w:rsid w:val="00A25CDB"/>
    <w:rsid w:val="00A94BC3"/>
    <w:rsid w:val="00AB6FA7"/>
    <w:rsid w:val="00B31566"/>
    <w:rsid w:val="00B84E52"/>
    <w:rsid w:val="00B948FF"/>
    <w:rsid w:val="00BD6CFF"/>
    <w:rsid w:val="00C02554"/>
    <w:rsid w:val="00C13528"/>
    <w:rsid w:val="00C61144"/>
    <w:rsid w:val="00DC203F"/>
    <w:rsid w:val="00DD5488"/>
    <w:rsid w:val="00E02D6F"/>
    <w:rsid w:val="00E27D9E"/>
    <w:rsid w:val="00EA5B87"/>
    <w:rsid w:val="00ED0F95"/>
    <w:rsid w:val="00EF3D26"/>
    <w:rsid w:val="00F10A5B"/>
    <w:rsid w:val="00F23C53"/>
    <w:rsid w:val="00F35DC1"/>
    <w:rsid w:val="00F708BC"/>
    <w:rsid w:val="00F8799D"/>
    <w:rsid w:val="00FA26F0"/>
    <w:rsid w:val="00FB724C"/>
    <w:rsid w:val="00FC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72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FB724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B72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24C"/>
  </w:style>
  <w:style w:type="paragraph" w:styleId="a7">
    <w:name w:val="footer"/>
    <w:basedOn w:val="a"/>
    <w:link w:val="a8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24C"/>
  </w:style>
  <w:style w:type="paragraph" w:customStyle="1" w:styleId="rvps2">
    <w:name w:val="rvps2"/>
    <w:basedOn w:val="a"/>
    <w:rsid w:val="0092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915B-A0F2-463A-9692-2AAF7412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Сонич</dc:creator>
  <cp:keywords/>
  <dc:description/>
  <cp:lastModifiedBy>voda_2</cp:lastModifiedBy>
  <cp:revision>6</cp:revision>
  <dcterms:created xsi:type="dcterms:W3CDTF">2020-01-14T13:47:00Z</dcterms:created>
  <dcterms:modified xsi:type="dcterms:W3CDTF">2021-07-01T13:11:00Z</dcterms:modified>
</cp:coreProperties>
</file>